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附件2</w:t>
      </w:r>
    </w:p>
    <w:p>
      <w:pPr>
        <w:spacing w:line="600" w:lineRule="exact"/>
        <w:jc w:val="center"/>
        <w:rPr>
          <w:rFonts w:hint="eastAsia" w:ascii="方正小标宋简体" w:eastAsia="方正小标宋简体"/>
          <w:sz w:val="36"/>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2019版文化和旅游行业目录事项清单</w:t>
      </w:r>
    </w:p>
    <w:p>
      <w:pPr>
        <w:spacing w:line="600" w:lineRule="exact"/>
        <w:jc w:val="center"/>
        <w:rPr>
          <w:rFonts w:ascii="方正小标宋简体" w:hAnsi="等线" w:eastAsia="方正小标宋简体"/>
          <w:sz w:val="32"/>
          <w:szCs w:val="32"/>
        </w:rPr>
      </w:pPr>
    </w:p>
    <w:p>
      <w:pPr>
        <w:spacing w:line="420" w:lineRule="exact"/>
        <w:ind w:firstLine="560" w:firstLineChars="200"/>
        <w:jc w:val="left"/>
        <w:rPr>
          <w:rFonts w:ascii="Times New Roman" w:hAnsi="Times New Roman" w:eastAsia="黑体"/>
          <w:sz w:val="28"/>
          <w:szCs w:val="32"/>
        </w:rPr>
      </w:pPr>
      <w:r>
        <w:rPr>
          <w:rFonts w:ascii="Times New Roman" w:hAnsi="黑体" w:eastAsia="黑体"/>
          <w:sz w:val="28"/>
          <w:szCs w:val="32"/>
        </w:rPr>
        <w:t>共</w:t>
      </w:r>
      <w:r>
        <w:rPr>
          <w:rFonts w:ascii="Times New Roman" w:hAnsi="Times New Roman" w:eastAsia="黑体"/>
          <w:sz w:val="28"/>
          <w:szCs w:val="32"/>
        </w:rPr>
        <w:t>221</w:t>
      </w:r>
      <w:r>
        <w:rPr>
          <w:rFonts w:ascii="Times New Roman" w:hAnsi="黑体" w:eastAsia="黑体"/>
          <w:sz w:val="28"/>
          <w:szCs w:val="32"/>
        </w:rPr>
        <w:t>项（含省、市、县三级）</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1.</w:t>
      </w:r>
      <w:r>
        <w:rPr>
          <w:rFonts w:hint="eastAsia" w:ascii="Times New Roman" w:hAnsi="Times New Roman" w:eastAsia="仿宋_GB2312"/>
          <w:sz w:val="28"/>
          <w:szCs w:val="32"/>
        </w:rPr>
        <w:t xml:space="preserve"> </w:t>
      </w:r>
      <w:r>
        <w:rPr>
          <w:rFonts w:ascii="Times New Roman" w:hAnsi="Times New Roman" w:eastAsia="仿宋_GB2312"/>
          <w:sz w:val="28"/>
          <w:szCs w:val="32"/>
        </w:rPr>
        <w:t>行政许可（43项）：市场管理11项、政策法规与科教1项、产业发展2项、非物质文化遗产1项、文物保护与考古16项、博物馆与社会文物13项、安全监管2项</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2.</w:t>
      </w:r>
      <w:r>
        <w:rPr>
          <w:rFonts w:hint="eastAsia" w:ascii="Times New Roman" w:hAnsi="Times New Roman" w:eastAsia="仿宋_GB2312"/>
          <w:sz w:val="28"/>
          <w:szCs w:val="32"/>
        </w:rPr>
        <w:t xml:space="preserve"> </w:t>
      </w:r>
      <w:r>
        <w:rPr>
          <w:rFonts w:ascii="Times New Roman" w:hAnsi="Times New Roman" w:eastAsia="仿宋_GB2312"/>
          <w:sz w:val="28"/>
          <w:szCs w:val="32"/>
        </w:rPr>
        <w:t>公共服务（1项）：旅游投诉处理机构1项</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3.</w:t>
      </w:r>
      <w:r>
        <w:rPr>
          <w:rFonts w:hint="eastAsia" w:ascii="Times New Roman" w:hAnsi="Times New Roman" w:eastAsia="仿宋_GB2312"/>
          <w:sz w:val="28"/>
          <w:szCs w:val="32"/>
        </w:rPr>
        <w:t xml:space="preserve"> </w:t>
      </w:r>
      <w:r>
        <w:rPr>
          <w:rFonts w:ascii="Times New Roman" w:hAnsi="Times New Roman" w:eastAsia="仿宋_GB2312"/>
          <w:sz w:val="28"/>
          <w:szCs w:val="32"/>
        </w:rPr>
        <w:t>行政调解（1项）：旅游投诉处理机构1项</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4.</w:t>
      </w:r>
      <w:r>
        <w:rPr>
          <w:rFonts w:hint="eastAsia" w:ascii="Times New Roman" w:hAnsi="Times New Roman" w:eastAsia="仿宋_GB2312"/>
          <w:sz w:val="28"/>
          <w:szCs w:val="32"/>
        </w:rPr>
        <w:t xml:space="preserve"> </w:t>
      </w:r>
      <w:r>
        <w:rPr>
          <w:rFonts w:ascii="Times New Roman" w:hAnsi="Times New Roman" w:eastAsia="仿宋_GB2312"/>
          <w:sz w:val="28"/>
          <w:szCs w:val="32"/>
        </w:rPr>
        <w:t>行政给付（1项）：文物保护与考古1项</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5.</w:t>
      </w:r>
      <w:r>
        <w:rPr>
          <w:rFonts w:hint="eastAsia" w:ascii="Times New Roman" w:hAnsi="Times New Roman" w:eastAsia="仿宋_GB2312"/>
          <w:sz w:val="28"/>
          <w:szCs w:val="32"/>
        </w:rPr>
        <w:t xml:space="preserve"> </w:t>
      </w:r>
      <w:r>
        <w:rPr>
          <w:rFonts w:ascii="Times New Roman" w:hAnsi="Times New Roman" w:eastAsia="仿宋_GB2312"/>
          <w:sz w:val="28"/>
          <w:szCs w:val="32"/>
        </w:rPr>
        <w:t>行政奖励（4项）：办公室1项、市场管理1项、公共服务1项、文物保护与考古1项</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6.</w:t>
      </w:r>
      <w:r>
        <w:rPr>
          <w:rFonts w:hint="eastAsia" w:ascii="Times New Roman" w:hAnsi="Times New Roman" w:eastAsia="仿宋_GB2312"/>
          <w:sz w:val="28"/>
          <w:szCs w:val="32"/>
        </w:rPr>
        <w:t xml:space="preserve"> </w:t>
      </w:r>
      <w:r>
        <w:rPr>
          <w:rFonts w:ascii="Times New Roman" w:hAnsi="Times New Roman" w:eastAsia="仿宋_GB2312"/>
          <w:sz w:val="28"/>
          <w:szCs w:val="32"/>
        </w:rPr>
        <w:t>行政确认（15项）：市场管理3项、非物质文化遗产3项、产业发展2项、资源开发1项、文物保护与考古4项、博物馆与社会文物1项、安全监管1项</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7.</w:t>
      </w:r>
      <w:r>
        <w:rPr>
          <w:rFonts w:hint="eastAsia" w:ascii="Times New Roman" w:hAnsi="Times New Roman" w:eastAsia="仿宋_GB2312"/>
          <w:sz w:val="28"/>
          <w:szCs w:val="32"/>
        </w:rPr>
        <w:t xml:space="preserve"> </w:t>
      </w:r>
      <w:r>
        <w:rPr>
          <w:rFonts w:ascii="Times New Roman" w:hAnsi="Times New Roman" w:eastAsia="仿宋_GB2312"/>
          <w:sz w:val="28"/>
          <w:szCs w:val="32"/>
        </w:rPr>
        <w:t>信用承诺（12项）：市场管理处12项</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8.</w:t>
      </w:r>
      <w:r>
        <w:rPr>
          <w:rFonts w:hint="eastAsia" w:ascii="Times New Roman" w:hAnsi="Times New Roman" w:eastAsia="仿宋_GB2312"/>
          <w:sz w:val="28"/>
          <w:szCs w:val="32"/>
        </w:rPr>
        <w:t xml:space="preserve"> </w:t>
      </w:r>
      <w:r>
        <w:rPr>
          <w:rFonts w:ascii="Times New Roman" w:hAnsi="Times New Roman" w:eastAsia="仿宋_GB2312"/>
          <w:sz w:val="28"/>
          <w:szCs w:val="32"/>
        </w:rPr>
        <w:t>其它行政权力（10项）：市场管理7项、文物保护与考古1项、博物馆与社会文物2项</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9.</w:t>
      </w:r>
      <w:r>
        <w:rPr>
          <w:rFonts w:hint="eastAsia" w:ascii="Times New Roman" w:hAnsi="Times New Roman" w:eastAsia="仿宋_GB2312"/>
          <w:sz w:val="28"/>
          <w:szCs w:val="32"/>
        </w:rPr>
        <w:t xml:space="preserve"> </w:t>
      </w:r>
      <w:r>
        <w:rPr>
          <w:rFonts w:ascii="Times New Roman" w:hAnsi="Times New Roman" w:eastAsia="仿宋_GB2312"/>
          <w:sz w:val="28"/>
          <w:szCs w:val="32"/>
        </w:rPr>
        <w:t>黑名单（9项）：文化市场综合执法监督7项、安全监管1项、市场管理1项</w:t>
      </w:r>
    </w:p>
    <w:p>
      <w:pPr>
        <w:spacing w:line="420" w:lineRule="exact"/>
        <w:ind w:firstLine="560" w:firstLineChars="200"/>
        <w:jc w:val="left"/>
        <w:rPr>
          <w:rFonts w:ascii="Times New Roman" w:hAnsi="Times New Roman" w:eastAsia="仿宋_GB2312"/>
          <w:sz w:val="28"/>
          <w:szCs w:val="32"/>
        </w:rPr>
      </w:pPr>
      <w:r>
        <w:rPr>
          <w:rFonts w:ascii="Times New Roman" w:hAnsi="Times New Roman" w:eastAsia="仿宋_GB2312"/>
          <w:sz w:val="28"/>
          <w:szCs w:val="32"/>
        </w:rPr>
        <w:t>10.</w:t>
      </w:r>
      <w:r>
        <w:rPr>
          <w:rFonts w:hint="eastAsia" w:ascii="Times New Roman" w:hAnsi="Times New Roman" w:eastAsia="仿宋_GB2312"/>
          <w:sz w:val="28"/>
          <w:szCs w:val="32"/>
        </w:rPr>
        <w:t xml:space="preserve"> </w:t>
      </w:r>
      <w:r>
        <w:rPr>
          <w:rFonts w:ascii="Times New Roman" w:hAnsi="Times New Roman" w:eastAsia="仿宋_GB2312"/>
          <w:sz w:val="28"/>
          <w:szCs w:val="32"/>
        </w:rPr>
        <w:t>行政处罚（125项）：文化市场综合执法监督106项、非物质文化遗产处3项、博物馆与社会文物9项、文物保护与考古7项。</w:t>
      </w:r>
    </w:p>
    <w:tbl>
      <w:tblPr>
        <w:tblStyle w:val="2"/>
        <w:tblW w:w="5000" w:type="pct"/>
        <w:jc w:val="center"/>
        <w:tblLayout w:type="autofit"/>
        <w:tblCellMar>
          <w:top w:w="0" w:type="dxa"/>
          <w:left w:w="108" w:type="dxa"/>
          <w:bottom w:w="0" w:type="dxa"/>
          <w:right w:w="108" w:type="dxa"/>
        </w:tblCellMar>
      </w:tblPr>
      <w:tblGrid>
        <w:gridCol w:w="656"/>
        <w:gridCol w:w="7321"/>
        <w:gridCol w:w="1476"/>
        <w:gridCol w:w="2316"/>
        <w:gridCol w:w="2405"/>
      </w:tblGrid>
      <w:tr>
        <w:tblPrEx>
          <w:tblCellMar>
            <w:top w:w="0" w:type="dxa"/>
            <w:left w:w="108" w:type="dxa"/>
            <w:bottom w:w="0" w:type="dxa"/>
            <w:right w:w="108" w:type="dxa"/>
          </w:tblCellMar>
        </w:tblPrEx>
        <w:trPr>
          <w:trHeight w:val="473" w:hRule="atLeast"/>
          <w:tblHeader/>
          <w:jc w:val="center"/>
        </w:trPr>
        <w:tc>
          <w:tcPr>
            <w:tcW w:w="227" w:type="pct"/>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center"/>
              <w:rPr>
                <w:rFonts w:ascii="Times New Roman" w:hAnsi="Times New Roman" w:eastAsia="黑体"/>
                <w:kern w:val="0"/>
                <w:sz w:val="22"/>
              </w:rPr>
            </w:pPr>
            <w:r>
              <w:rPr>
                <w:rFonts w:ascii="Times New Roman" w:hAnsi="黑体" w:eastAsia="黑体"/>
                <w:kern w:val="0"/>
                <w:sz w:val="22"/>
              </w:rPr>
              <w:t>序号</w:t>
            </w:r>
          </w:p>
        </w:tc>
        <w:tc>
          <w:tcPr>
            <w:tcW w:w="2649" w:type="pct"/>
            <w:tcBorders>
              <w:top w:val="single" w:color="auto" w:sz="8" w:space="0"/>
              <w:left w:val="nil"/>
              <w:bottom w:val="single" w:color="auto" w:sz="8" w:space="0"/>
              <w:right w:val="single" w:color="auto" w:sz="8" w:space="0"/>
            </w:tcBorders>
            <w:shd w:val="clear" w:color="000000" w:fill="FFFFFF"/>
            <w:noWrap w:val="0"/>
            <w:vAlign w:val="center"/>
          </w:tcPr>
          <w:p>
            <w:pPr>
              <w:widowControl/>
              <w:jc w:val="center"/>
              <w:rPr>
                <w:rFonts w:ascii="Times New Roman" w:hAnsi="Times New Roman" w:eastAsia="黑体"/>
                <w:kern w:val="0"/>
                <w:sz w:val="22"/>
              </w:rPr>
            </w:pPr>
            <w:r>
              <w:rPr>
                <w:rFonts w:ascii="Times New Roman" w:hAnsi="黑体" w:eastAsia="黑体"/>
                <w:kern w:val="0"/>
                <w:sz w:val="22"/>
              </w:rPr>
              <w:t>目录名称</w:t>
            </w:r>
          </w:p>
        </w:tc>
        <w:tc>
          <w:tcPr>
            <w:tcW w:w="412"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ascii="Times New Roman" w:hAnsi="Times New Roman" w:eastAsia="黑体"/>
                <w:kern w:val="0"/>
                <w:sz w:val="22"/>
              </w:rPr>
            </w:pPr>
            <w:r>
              <w:rPr>
                <w:rFonts w:ascii="Times New Roman" w:hAnsi="黑体" w:eastAsia="黑体"/>
                <w:kern w:val="0"/>
                <w:sz w:val="22"/>
              </w:rPr>
              <w:t>事项类型</w:t>
            </w:r>
          </w:p>
        </w:tc>
        <w:tc>
          <w:tcPr>
            <w:tcW w:w="796"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ascii="Times New Roman" w:hAnsi="Times New Roman" w:eastAsia="黑体"/>
                <w:kern w:val="0"/>
                <w:sz w:val="22"/>
              </w:rPr>
            </w:pPr>
            <w:r>
              <w:rPr>
                <w:rFonts w:ascii="Times New Roman" w:hAnsi="黑体" w:eastAsia="黑体"/>
                <w:kern w:val="0"/>
                <w:sz w:val="22"/>
              </w:rPr>
              <w:t>业务归口</w:t>
            </w:r>
          </w:p>
        </w:tc>
        <w:tc>
          <w:tcPr>
            <w:tcW w:w="915" w:type="pct"/>
            <w:tcBorders>
              <w:top w:val="single" w:color="auto" w:sz="8" w:space="0"/>
              <w:left w:val="nil"/>
              <w:bottom w:val="single" w:color="auto" w:sz="8" w:space="0"/>
              <w:right w:val="single" w:color="auto" w:sz="8" w:space="0"/>
            </w:tcBorders>
            <w:shd w:val="clear" w:color="000000" w:fill="FFFFFF"/>
            <w:noWrap w:val="0"/>
            <w:vAlign w:val="center"/>
          </w:tcPr>
          <w:p>
            <w:pPr>
              <w:widowControl/>
              <w:spacing w:line="240" w:lineRule="exact"/>
              <w:jc w:val="center"/>
              <w:rPr>
                <w:rFonts w:ascii="Times New Roman" w:hAnsi="Times New Roman" w:eastAsia="黑体"/>
                <w:kern w:val="0"/>
                <w:sz w:val="22"/>
              </w:rPr>
            </w:pPr>
            <w:r>
              <w:rPr>
                <w:rFonts w:ascii="Times New Roman" w:hAnsi="黑体" w:eastAsia="黑体"/>
                <w:kern w:val="0"/>
                <w:sz w:val="22"/>
              </w:rPr>
              <w:t>可对接的系统</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对在艺术档案工作中做出显著成绩的单位和个人的表彰和奖励</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行政奖励</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办公室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游戏游艺设备内容审核</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湖北省政务服务网</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旅行社设立许可（含分公司、网点的设立、变更、注销）</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全国旅游监管服务平台</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导游证核发</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auto" w:fill="auto"/>
            <w:noWrap w:val="0"/>
            <w:vAlign w:val="center"/>
          </w:tcPr>
          <w:p>
            <w:pPr>
              <w:spacing w:line="240" w:lineRule="exact"/>
              <w:jc w:val="center"/>
              <w:rPr>
                <w:rFonts w:ascii="Times New Roman" w:hAnsi="Times New Roman"/>
              </w:rPr>
            </w:pPr>
            <w:r>
              <w:rPr>
                <w:rFonts w:ascii="Times New Roman"/>
              </w:rPr>
              <w:t>全国旅游监管服务平台</w:t>
            </w:r>
          </w:p>
        </w:tc>
      </w:tr>
      <w:tr>
        <w:tblPrEx>
          <w:tblCellMar>
            <w:top w:w="0" w:type="dxa"/>
            <w:left w:w="108" w:type="dxa"/>
            <w:bottom w:w="0" w:type="dxa"/>
            <w:right w:w="108" w:type="dxa"/>
          </w:tblCellMar>
        </w:tblPrEx>
        <w:trPr>
          <w:trHeight w:val="36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从事经营性互联网文化活动审批</w:t>
            </w:r>
            <w:r>
              <w:rPr>
                <w:rFonts w:ascii="Times New Roman" w:hAnsi="Times New Roman"/>
              </w:rPr>
              <w:t>(</w:t>
            </w:r>
            <w:r>
              <w:rPr>
                <w:rFonts w:ascii="Times New Roman"/>
              </w:rPr>
              <w:t>设立、变更、延续、补证、注销</w:t>
            </w:r>
            <w:r>
              <w:rPr>
                <w:rFonts w:ascii="Times New Roman" w:hAnsi="Times New Roman"/>
              </w:rPr>
              <w:t>)</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nil"/>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全国文化市场技术监管与服务平台</w:t>
            </w:r>
          </w:p>
        </w:tc>
      </w:tr>
      <w:tr>
        <w:tblPrEx>
          <w:tblCellMar>
            <w:top w:w="0" w:type="dxa"/>
            <w:left w:w="108" w:type="dxa"/>
            <w:bottom w:w="0" w:type="dxa"/>
            <w:right w:w="108" w:type="dxa"/>
          </w:tblCellMar>
        </w:tblPrEx>
        <w:trPr>
          <w:trHeight w:val="27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申请从事互联网上网服务经营活动审批（设立、变更、延续、补证、注销）</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single" w:color="auto" w:sz="8" w:space="0"/>
              <w:left w:val="nil"/>
              <w:bottom w:val="nil"/>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全国文化市场技术监管与服务平台</w:t>
            </w:r>
          </w:p>
        </w:tc>
      </w:tr>
      <w:tr>
        <w:tblPrEx>
          <w:tblCellMar>
            <w:top w:w="0" w:type="dxa"/>
            <w:left w:w="108" w:type="dxa"/>
            <w:bottom w:w="0" w:type="dxa"/>
            <w:right w:w="108" w:type="dxa"/>
          </w:tblCellMar>
        </w:tblPrEx>
        <w:trPr>
          <w:trHeight w:val="50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从事营业性演出经营活动审批（许可、变更演出地点、变更演出内容、变更演出时间、变更演员）</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single" w:color="auto" w:sz="8" w:space="0"/>
              <w:left w:val="nil"/>
              <w:bottom w:val="nil"/>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全国文化市场技术监管与服务平台</w:t>
            </w:r>
          </w:p>
        </w:tc>
      </w:tr>
      <w:tr>
        <w:tblPrEx>
          <w:tblCellMar>
            <w:top w:w="0" w:type="dxa"/>
            <w:left w:w="108" w:type="dxa"/>
            <w:bottom w:w="0" w:type="dxa"/>
            <w:right w:w="108" w:type="dxa"/>
          </w:tblCellMar>
        </w:tblPrEx>
        <w:trPr>
          <w:trHeight w:val="432"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申请从事娱乐场所经营活动审批（设立、变更、延续、补证、注销）</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single" w:color="auto" w:sz="8" w:space="0"/>
              <w:left w:val="nil"/>
              <w:bottom w:val="nil"/>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全国文化市场技术监管与服务平台</w:t>
            </w:r>
          </w:p>
        </w:tc>
      </w:tr>
      <w:tr>
        <w:tblPrEx>
          <w:tblCellMar>
            <w:top w:w="0" w:type="dxa"/>
            <w:left w:w="108" w:type="dxa"/>
            <w:bottom w:w="0" w:type="dxa"/>
            <w:right w:w="108" w:type="dxa"/>
          </w:tblCellMar>
        </w:tblPrEx>
        <w:trPr>
          <w:trHeight w:val="35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演出经纪机构设立审批（设立、许可、变更、延续、补证、注销）</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single" w:color="auto" w:sz="8" w:space="0"/>
              <w:left w:val="nil"/>
              <w:bottom w:val="nil"/>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文艺表演团体设立审批（许可、变更、补证、延续）</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single" w:color="auto" w:sz="8" w:space="0"/>
              <w:left w:val="nil"/>
              <w:bottom w:val="nil"/>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全国文化市场技术监管与服务平台</w:t>
            </w:r>
          </w:p>
        </w:tc>
      </w:tr>
      <w:tr>
        <w:tblPrEx>
          <w:tblCellMar>
            <w:top w:w="0" w:type="dxa"/>
            <w:left w:w="108" w:type="dxa"/>
            <w:bottom w:w="0" w:type="dxa"/>
            <w:right w:w="108" w:type="dxa"/>
          </w:tblCellMar>
        </w:tblPrEx>
        <w:trPr>
          <w:trHeight w:val="41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《营业性演出许可证》注销</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single" w:color="auto" w:sz="8" w:space="0"/>
              <w:left w:val="nil"/>
              <w:bottom w:val="nil"/>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全国文化市场技术监管与服务平台</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艺术品进出口经营活动审批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single" w:color="auto" w:sz="8" w:space="0"/>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湖北政务服务网</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拟入境进行营业性演出的外国文艺表演团体、个人出具工作证明</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出境游名单审核</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全国旅游监管服务平台</w:t>
            </w:r>
          </w:p>
        </w:tc>
      </w:tr>
      <w:tr>
        <w:tblPrEx>
          <w:tblCellMar>
            <w:top w:w="0" w:type="dxa"/>
            <w:left w:w="108" w:type="dxa"/>
            <w:bottom w:w="0" w:type="dxa"/>
            <w:right w:w="108" w:type="dxa"/>
          </w:tblCellMar>
        </w:tblPrEx>
        <w:trPr>
          <w:trHeight w:val="36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降低旅游服务质量保证金资格确认</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湖北政务服务网</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对营业性演出举报人的奖励</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行政奖励</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湖北政务服务网</w:t>
            </w:r>
          </w:p>
        </w:tc>
      </w:tr>
      <w:tr>
        <w:tblPrEx>
          <w:tblCellMar>
            <w:top w:w="0" w:type="dxa"/>
            <w:left w:w="108" w:type="dxa"/>
            <w:bottom w:w="0" w:type="dxa"/>
            <w:right w:w="108" w:type="dxa"/>
          </w:tblCellMar>
        </w:tblPrEx>
        <w:trPr>
          <w:trHeight w:val="18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非经营性互联网文化单位设立备案（备案、变更、延续、补证、注销）</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湖北政务服务网</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《内地居民赴香港、澳门特别行政区旅游团队名单表》审核</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全国旅游监管服务平台</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《中国公民出国旅游团队名单表》审核</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全国旅游监管服务平台</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个体演出经纪人备案</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湖北政务服务网</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个体演员备案</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湖北政务服务网</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22</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营业性涉外、涉港澳台营业性演出增加演出地备案</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全国文化市场技术监管与服务平台</w:t>
            </w:r>
          </w:p>
        </w:tc>
      </w:tr>
      <w:tr>
        <w:tblPrEx>
          <w:tblCellMar>
            <w:top w:w="0" w:type="dxa"/>
            <w:left w:w="108" w:type="dxa"/>
            <w:bottom w:w="0" w:type="dxa"/>
            <w:right w:w="108" w:type="dxa"/>
          </w:tblCellMar>
        </w:tblPrEx>
        <w:trPr>
          <w:trHeight w:val="22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23</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异地或本地旅行社在辖区设立分公司（分社）备案（登记、变更、注销）</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全国旅游监管服务平台</w:t>
            </w:r>
          </w:p>
        </w:tc>
      </w:tr>
      <w:tr>
        <w:tblPrEx>
          <w:tblCellMar>
            <w:top w:w="0" w:type="dxa"/>
            <w:left w:w="108" w:type="dxa"/>
            <w:bottom w:w="0" w:type="dxa"/>
            <w:right w:w="108" w:type="dxa"/>
          </w:tblCellMar>
        </w:tblPrEx>
        <w:trPr>
          <w:trHeight w:val="27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24</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设立社会艺术水平考级机构审批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政策法规与科教</w:t>
            </w:r>
          </w:p>
        </w:tc>
        <w:tc>
          <w:tcPr>
            <w:tcW w:w="915" w:type="pct"/>
            <w:vMerge w:val="restart"/>
            <w:tcBorders>
              <w:top w:val="nil"/>
              <w:left w:val="single" w:color="auto" w:sz="8" w:space="0"/>
              <w:bottom w:val="single" w:color="000000"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全国文化市场技术监管与服务平台</w:t>
            </w:r>
          </w:p>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w:t>
            </w:r>
          </w:p>
        </w:tc>
        <w:tc>
          <w:tcPr>
            <w:tcW w:w="2649" w:type="pct"/>
            <w:tcBorders>
              <w:top w:val="nil"/>
              <w:left w:val="nil"/>
              <w:bottom w:val="single" w:color="auto" w:sz="8" w:space="0"/>
              <w:right w:val="single" w:color="auto" w:sz="8" w:space="0"/>
            </w:tcBorders>
            <w:shd w:val="clear" w:color="000000" w:fill="FFFFFF"/>
            <w:noWrap w:val="0"/>
            <w:vAlign w:val="center"/>
          </w:tcPr>
          <w:p>
            <w:pPr>
              <w:widowControl/>
              <w:rPr>
                <w:rFonts w:ascii="Times New Roman" w:hAnsi="Times New Roman" w:eastAsia="仿宋_GB2312"/>
                <w:kern w:val="0"/>
                <w:sz w:val="22"/>
              </w:rPr>
            </w:pPr>
            <w:r>
              <w:rPr>
                <w:rFonts w:ascii="Times New Roman"/>
              </w:rPr>
              <w:t>社会艺术水平考级工作备案</w:t>
            </w:r>
          </w:p>
        </w:tc>
        <w:tc>
          <w:tcPr>
            <w:tcW w:w="412" w:type="pct"/>
            <w:tcBorders>
              <w:top w:val="nil"/>
              <w:left w:val="nil"/>
              <w:bottom w:val="single" w:color="auto" w:sz="8" w:space="0"/>
              <w:right w:val="single" w:color="auto" w:sz="8" w:space="0"/>
            </w:tcBorders>
            <w:shd w:val="clear" w:color="000000" w:fill="FFFFFF"/>
            <w:noWrap/>
            <w:vAlign w:val="center"/>
          </w:tcPr>
          <w:p>
            <w:pPr>
              <w:widowControl/>
              <w:jc w:val="center"/>
              <w:rPr>
                <w:rFonts w:ascii="Times New Roman" w:hAnsi="Times New Roman" w:eastAsia="仿宋_GB2312"/>
                <w:kern w:val="0"/>
                <w:sz w:val="22"/>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widowControl/>
              <w:jc w:val="center"/>
              <w:rPr>
                <w:rFonts w:ascii="Times New Roman" w:hAnsi="Times New Roman" w:eastAsia="仿宋_GB2312"/>
                <w:kern w:val="0"/>
                <w:sz w:val="22"/>
              </w:rPr>
            </w:pPr>
            <w:r>
              <w:rPr>
                <w:rFonts w:ascii="Times New Roman"/>
              </w:rPr>
              <w:t>政策法规与科教</w:t>
            </w:r>
          </w:p>
        </w:tc>
        <w:tc>
          <w:tcPr>
            <w:tcW w:w="915" w:type="pct"/>
            <w:vMerge w:val="continue"/>
            <w:tcBorders>
              <w:top w:val="nil"/>
              <w:left w:val="single" w:color="auto" w:sz="8" w:space="0"/>
              <w:bottom w:val="single" w:color="000000" w:sz="8" w:space="0"/>
              <w:right w:val="single" w:color="auto" w:sz="8" w:space="0"/>
            </w:tcBorders>
            <w:noWrap w:val="0"/>
            <w:vAlign w:val="center"/>
          </w:tcPr>
          <w:p>
            <w:pPr>
              <w:widowControl/>
              <w:spacing w:line="240" w:lineRule="exact"/>
              <w:jc w:val="center"/>
              <w:rPr>
                <w:rFonts w:ascii="Times New Roman" w:hAnsi="Times New Roman" w:eastAsia="仿宋_GB2312"/>
                <w:kern w:val="0"/>
                <w:sz w:val="22"/>
              </w:rPr>
            </w:pPr>
          </w:p>
        </w:tc>
      </w:tr>
      <w:tr>
        <w:tblPrEx>
          <w:tblCellMar>
            <w:top w:w="0" w:type="dxa"/>
            <w:left w:w="108" w:type="dxa"/>
            <w:bottom w:w="0" w:type="dxa"/>
            <w:right w:w="108" w:type="dxa"/>
          </w:tblCellMar>
        </w:tblPrEx>
        <w:trPr>
          <w:trHeight w:val="30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境外组织或者个人在中华人民共和国境内进行非物质文化遗产调查的审批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非物质文化遗产</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27</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对非物质文化遗产代表性项目的组织推荐评审认定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非物质文化遗产</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28</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对非物质文化遗产代表性传承人的组织推荐评审认定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非物质文化遗产</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29</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对非物质文化遗产项目保护单位的组织推荐评审认定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非物质文化遗产</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省级文化产业示范基地（单位）命名</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产业发展</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动漫企业认定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产业发展</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旅游规划单位资质认定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资源开发</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4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33</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对在公共文化体育设施的建设、管理和保护工作中做出突出贡献的单位和个人给予奖励</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行政奖励</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公共服务</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34</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境外机构、团体及外国公民参观、拍摄未开放的文物点和考古发掘现场审批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湖北政务服务网</w:t>
            </w:r>
          </w:p>
        </w:tc>
      </w:tr>
      <w:tr>
        <w:tblPrEx>
          <w:tblCellMar>
            <w:top w:w="0" w:type="dxa"/>
            <w:left w:w="108" w:type="dxa"/>
            <w:bottom w:w="0" w:type="dxa"/>
            <w:right w:w="108" w:type="dxa"/>
          </w:tblCellMar>
        </w:tblPrEx>
        <w:trPr>
          <w:trHeight w:val="39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建设工程文物保护和考古许可</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湖北省投资项目在线审批监管平台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36</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文物保护单位保养维护工程备案、全国重点文物保护单位施工过程中需变更或补充已批准的技术设计备案</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37</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外省有关文物、考古单位在我省进行考古调查、勘探的备案</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38</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省级非国有不可移动文物转让、抵押或者改变用途备案</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39</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涉及重点文物和跨市的文物调查勘探审核</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涉及文物保护建设工程开工审核</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43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41</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考古发掘计划许可、考古发掘抢救许可初审服务</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国家文物局考古发掘电子审批系统</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42</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考古发掘单位保留少量出土文物作为科研标本许可</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湖北政务服务网</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43</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省级文物保护单位修缮审批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44</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核定为文物保护单位的属于国家所有的纪念建筑物或者古建筑改变用途审批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42"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45</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大型基本建设工程文物考古调查、勘探审批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46</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市县级以下文物保护单位的迁移或拆除审批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47</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市级文物保护单位保护范围内其他建设工程或者爆破、钻探、挖掘等作业审批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湖北省投资项目在线审批监管平台</w:t>
            </w:r>
          </w:p>
        </w:tc>
      </w:tr>
      <w:tr>
        <w:tblPrEx>
          <w:tblCellMar>
            <w:top w:w="0" w:type="dxa"/>
            <w:left w:w="108" w:type="dxa"/>
            <w:bottom w:w="0" w:type="dxa"/>
            <w:right w:w="108" w:type="dxa"/>
          </w:tblCellMar>
        </w:tblPrEx>
        <w:trPr>
          <w:trHeight w:val="45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48</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省级文物保护单位建设控制地带内建设工程设计方案审批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湖北省投资项目在线审批监管平台</w:t>
            </w:r>
          </w:p>
        </w:tc>
      </w:tr>
      <w:tr>
        <w:tblPrEx>
          <w:tblCellMar>
            <w:top w:w="0" w:type="dxa"/>
            <w:left w:w="108" w:type="dxa"/>
            <w:bottom w:w="0" w:type="dxa"/>
            <w:right w:w="108" w:type="dxa"/>
          </w:tblCellMar>
        </w:tblPrEx>
        <w:trPr>
          <w:trHeight w:val="9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49</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省级文物保护单位原址保护措施审批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2"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文物保护工程资质（勘察设计乙丙级、施工资质二三级、监理资质乙丙级）证书核发</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rPr>
              <w:t>湖北政务服务网</w:t>
            </w:r>
          </w:p>
        </w:tc>
      </w:tr>
      <w:tr>
        <w:tblPrEx>
          <w:tblCellMar>
            <w:top w:w="0" w:type="dxa"/>
            <w:left w:w="108" w:type="dxa"/>
            <w:bottom w:w="0" w:type="dxa"/>
            <w:right w:w="108" w:type="dxa"/>
          </w:tblCellMar>
        </w:tblPrEx>
        <w:trPr>
          <w:trHeight w:val="10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51</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非国有不可移动文物修缮资金给付</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行政给付</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52</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文物保护单位保护范围的划定、标志说明和记录档案</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53</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文物保护单位保护范围及建设控制地带的划定并公布</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54</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全国重点文物保护单位、省级及以下文物保护单位（含省级水下文物保护单位、水下文物保护区）的认定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3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55</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文物保护单位建设控制地带划定公布</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56</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文物系统先进单位和先进工作者奖励</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行政奖励</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57</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《文物拍卖许可证》审批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0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58</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文物商店购买、销售文物及拍卖企业拍卖文物记录备案</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国有文物收藏单位之间借用馆藏文物备案</w:t>
            </w:r>
          </w:p>
        </w:tc>
        <w:tc>
          <w:tcPr>
            <w:tcW w:w="412" w:type="pct"/>
            <w:tcBorders>
              <w:top w:val="nil"/>
              <w:left w:val="nil"/>
              <w:bottom w:val="single" w:color="auto" w:sz="8" w:space="0"/>
              <w:right w:val="single" w:color="auto" w:sz="8" w:space="0"/>
            </w:tcBorders>
            <w:shd w:val="clear" w:color="000000" w:fill="FFFFFF"/>
            <w:noWrap/>
            <w:vAlign w:val="center"/>
          </w:tcPr>
          <w:p>
            <w:pPr>
              <w:spacing w:line="240" w:lineRule="exact"/>
              <w:jc w:val="center"/>
              <w:rPr>
                <w:rFonts w:ascii="Times New Roman" w:hAnsi="Times New Roman"/>
              </w:rPr>
            </w:pPr>
            <w:r>
              <w:rPr>
                <w:rFonts w:ascii="Times New Roman"/>
              </w:rPr>
              <w:t>其他行政权力</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60</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馆藏文物修复、复制、拓印及藏品取样分析审批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61</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非国有文物收藏单位和其他单位借用国有馆藏文物的许可</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62</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博物馆设立、变更、终止备案</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63</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博物馆处理不够入藏标准、无保存价值的文物或标本审核及国有馆藏文物退出馆藏备案</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64</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文物拍卖标的审核</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65</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馆藏二、三级文物的修复、复制、拓印许可</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66</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设立文物商店审批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67</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已经建立馆藏文物档案的国有文物收藏单位交换馆藏文物审批</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68</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博物馆二级以下藏品取样分析许可</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69</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馆藏文物修复、复制、拓印单位资质认定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馆藏珍贵文物等级的确定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71</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全国重点文物保护单位安全防护工程立项报告初审和设计方案核准服务</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安全监管</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72</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文物保护单位安防、消防、防雷工程的立项和方案审核</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行政许可</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安全监管</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73</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文博单位二、三级风险等级认定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行政确认</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安全监管</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74</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受理旅游投诉</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公共服务</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旅游投诉处理机构</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75</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经营性互联网文化单位信用承诺书</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76</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非经营性互联网文化单位（备案）信用承诺书</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77</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娱乐场所经营单位（歌舞娱乐）信用承诺书</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娱乐场所经营单位（游艺游戏）信用承诺书</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演出市场（演出场所）信用承诺书</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艺术品经营单位信用承诺书</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演出市场（营业性演出活动）信用承诺书</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演出市场（演出经纪机构）信用承诺书</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演出市场（文艺表演团体）信用承诺书</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互联网上网服务营业场所信用承诺书</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旅行社企业信用承诺书</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导游人员信用承诺书</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信用承诺</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0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擅自从事文化市场经营活动，造成重大事故或恶劣社会影响的</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黑名单</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0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88</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受到文化行政部门或文化市场综合执法机构吊销许可证行政处罚的</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黑名单</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89</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受到文化和旅游行政部门或者文化市场综合执法机构吊销旅行社业务经营许可证、导游证处罚的</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rPr>
              <w:t>黑名单</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因侵害旅游者合法权益，造成游客滞留或者严重社会不良影响的</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黑名单</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7"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因侵害旅游者合法权益，被人民法院判处刑罚的</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黑名单</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92</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在旅游经营活动中因妨害国（边）境管理受到刑事处罚的</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黑名单</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93</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rPr>
              <w:t>连续</w:t>
            </w:r>
            <w:r>
              <w:rPr>
                <w:rFonts w:ascii="Times New Roman" w:hAnsi="Times New Roman"/>
              </w:rPr>
              <w:t>12</w:t>
            </w:r>
            <w:r>
              <w:rPr>
                <w:rFonts w:ascii="Times New Roman"/>
              </w:rPr>
              <w:t>个月内两次被列入旅游市场重点关注名单的</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黑名单</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rPr>
              <w:t>旅游市场主体发生重大安全事故，属于旅游市场主体主要责任的</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黑名单</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rPr>
              <w:t>安全监管</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因欺骗、故意隐匿、伪造变造材料等不正当手段取得的许可证、批准文件被文化行政部门撤销的，或者伪造、变造许可证、批准文件证据确凿的</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黑名单</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市场管理</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96</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hAnsi="Times New Roman"/>
              </w:rPr>
              <w:t>对个人在风景名胜区内进行开荒、修坟立碑等破坏景观、植被、地形地貌的活动的处罚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8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97</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hAnsi="Times New Roman"/>
              </w:rPr>
              <w:t>对旅游社向不合格的供应商订购产品和服务的处罚</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70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98</w:t>
            </w:r>
          </w:p>
        </w:tc>
        <w:tc>
          <w:tcPr>
            <w:tcW w:w="2649" w:type="pct"/>
            <w:tcBorders>
              <w:top w:val="nil"/>
              <w:left w:val="nil"/>
              <w:bottom w:val="single" w:color="auto" w:sz="8" w:space="0"/>
              <w:right w:val="single" w:color="auto" w:sz="8" w:space="0"/>
            </w:tcBorders>
            <w:shd w:val="clear" w:color="000000" w:fill="FFFFFF"/>
            <w:noWrap w:val="0"/>
            <w:vAlign w:val="center"/>
          </w:tcPr>
          <w:p>
            <w:pPr>
              <w:rPr>
                <w:rFonts w:ascii="Times New Roman" w:hAnsi="Times New Roman"/>
              </w:rPr>
            </w:pPr>
            <w:r>
              <w:rPr>
                <w:rFonts w:ascii="Times New Roman" w:hAnsi="Times New Roman"/>
              </w:rPr>
              <w:t>旅游景区（点）强买强卖商品、强迫他人提供或者接受服务实施；旅游景区人（点）强行向旅游者兜售联票、套票</w:t>
            </w:r>
          </w:p>
        </w:tc>
        <w:tc>
          <w:tcPr>
            <w:tcW w:w="412"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70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对旅游客运企业或者其驾驶人员擅自揽客或者甩客、擅自变更或者终止客运服务的行政处罚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5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对旅游景区（点）未按规定实行总量控制或游客总量达到控制标准时未及时疏导、未采取分时进入或者限制进入等措施；强买强卖商品、强迫他人提供或者接受服务的行政处罚的行政处罚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经营国内旅游业务和入境旅游业务许可</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6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无证或者不规范经营旅行社业务</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对外商投资旅行社经营出国和港、澳、台业务，出境社组织旅游者到国家 公布的旅游目的地之外的国家和地区旅游的违规行为的处罚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对领队、导游人员在旅游活动中违规行为的处罚（对未取得导游证或领队证从事导游、领队活动；导游、领队私揽业务；导游、领队向旅游者索要消费等行为的处罚）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4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对未签订合同和履行合同不力行为的处罚（对未与旅游者签订合同、合同未载明本条例；对为旅游者提供合同约定之外有偿服务行为的处罚）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7"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对景区不符合开放条件而接待旅游者的处罚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0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对导游人员、领队人员发生危及人身安全情形下未采取措施和报告的行为的处罚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对开发利用旅游资源未采取保护措施造成生态环境或者人文资源破坏的处罚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对旅游经营者行贿受贿行为的处罚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对旅游活动中违反国家法律行为的处罚（对旅游经营者组织、接待出入境旅游发现旅游者从事违法活动不及时报 告行为的处罚；对旅行社安排旅游者参观、参与违反我国法律、法规、社会公德项目或 活动行为的处罚）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9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对旅行社虚假宣传行为的处罚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9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对旅行社未按规定使用领队、导游行为的处罚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9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对擅自使用等级标识的违规行为的处罚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领队、导游人员在旅游活动中违规行为的处罚（对导游人员兜售物品或者购买旅游者物品、明示或者暗示索要小费行为的处罚；对擅自增减旅游项目、擅自变更接待计划、擅自中止导游活动行为的处罚；对导游活动时未佩戴导游证行为的处罚；对导游活动中有损害国家利益和民族尊严言行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对未按规定保存旅游合同及相关信息资料行为的处罚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9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对未将旅游目地的接待旅行社告知旅游者行为的处罚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对要求必须参加购物活动、另行付费项目，或者对同一旅游团队旅游者存 在不同合同事项行为的处罚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对未签订旅游合同和履行旅游合同不力行为的处罚（对旅游行程中擅自变更行程安排，拒绝履行合同、未征得旅游者书面同意，委托其他旅行社履行包价合同行为的处罚）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191"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对旅行社选择的交通、住宿、餐饮、景区不具有合法经营资格或接待能力行为的处罚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41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对危及人身安全情形下未采取措施和报告的的行为的处罚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6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对不支付委托社接待社和服务费用、费用低于接待成本的、委托社不支付或不足额支付接待和服务费用行为的处罚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对违反合同约定造成旅游者合法权益受损不采取补救措施行为的处罚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40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对旅行社以不合理低价组织旅游活动行为的处罚（对导游和领队接待不支付接待和服务费用、费用低于接待和服务成本、导游和领队承担接待费用行为的处罚；通过安排购物、或另行付费获取回扣行为的处罚）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对不履行旅游合同约定义务、改变合同约定行程以及欺骗、胁迫旅游者购物或参加另行付费项目行为的处罚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43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对在规定期限内企业变更信息、终止经营、设立分社不报备等行为的处罚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对不投保旅行社责任险行为的处罚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对违反旅行社质量保证金规定行为的处罚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11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对旅行社违规使用经营许可证行为的处罚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对旅行社超范围经营等违规行为的处罚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对旅游景区（点）不按照规定超载接待游客的处罚；强行向旅游者兜售联票、套票的处罚；强买强卖商品、强迫他人提供或者接受服务的处罚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对旅游经营者在旅游经营活动中使用不符合规定的车辆、船舶承担旅游运输的处罚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对未经批准擅自经营或者以商务、考察、培训等方式变相经营出国旅游业务的处罚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5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对旅行社未与接受委托的旅行社就接待旅游者的事宜签订委托合同的处罚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19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对旅行社将旅游业务委托给不具有相应资质的旅行社的处罚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对旅行社不按照国家有关规定向旅游行政管理部门报送经营和财务信息等统计资料的处罚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136</w:t>
            </w:r>
          </w:p>
        </w:tc>
        <w:tc>
          <w:tcPr>
            <w:tcW w:w="2649" w:type="pct"/>
            <w:tcBorders>
              <w:top w:val="nil"/>
              <w:left w:val="nil"/>
              <w:bottom w:val="single" w:color="auto" w:sz="8" w:space="0"/>
              <w:right w:val="single" w:color="auto" w:sz="8" w:space="0"/>
            </w:tcBorders>
            <w:shd w:val="clear" w:color="auto" w:fill="auto"/>
            <w:noWrap w:val="0"/>
            <w:vAlign w:val="center"/>
          </w:tcPr>
          <w:p>
            <w:pPr>
              <w:spacing w:line="260" w:lineRule="exact"/>
              <w:rPr>
                <w:rFonts w:ascii="Times New Roman" w:hAnsi="Times New Roman"/>
              </w:rPr>
            </w:pPr>
            <w:r>
              <w:rPr>
                <w:rFonts w:ascii="Times New Roman" w:hAnsi="Times New Roman"/>
              </w:rPr>
              <w:t>对在风景名胜区内从事禁止范围以外的建设活动，未经风景名胜区管理机构审核的处罚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137</w:t>
            </w:r>
          </w:p>
        </w:tc>
        <w:tc>
          <w:tcPr>
            <w:tcW w:w="2649" w:type="pct"/>
            <w:tcBorders>
              <w:top w:val="nil"/>
              <w:left w:val="nil"/>
              <w:bottom w:val="single" w:color="auto" w:sz="8" w:space="0"/>
              <w:right w:val="single" w:color="auto" w:sz="8" w:space="0"/>
            </w:tcBorders>
            <w:shd w:val="clear" w:color="auto" w:fill="auto"/>
            <w:noWrap w:val="0"/>
            <w:vAlign w:val="center"/>
          </w:tcPr>
          <w:p>
            <w:pPr>
              <w:spacing w:line="260" w:lineRule="exact"/>
              <w:rPr>
                <w:rFonts w:ascii="Times New Roman" w:hAnsi="Times New Roman"/>
              </w:rPr>
            </w:pPr>
            <w:r>
              <w:rPr>
                <w:rFonts w:ascii="Times New Roman" w:hAnsi="Times New Roman"/>
              </w:rPr>
              <w:t>对违反《湖北省旅游条例》第30条的行政处罚（旅游经营者不按照旅游等级标准向旅游者收费并提供相应服务的）</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138</w:t>
            </w:r>
          </w:p>
        </w:tc>
        <w:tc>
          <w:tcPr>
            <w:tcW w:w="2649" w:type="pct"/>
            <w:tcBorders>
              <w:top w:val="nil"/>
              <w:left w:val="nil"/>
              <w:bottom w:val="single" w:color="auto" w:sz="8" w:space="0"/>
              <w:right w:val="single" w:color="auto" w:sz="8" w:space="0"/>
            </w:tcBorders>
            <w:shd w:val="clear" w:color="auto" w:fill="auto"/>
            <w:noWrap w:val="0"/>
            <w:vAlign w:val="center"/>
          </w:tcPr>
          <w:p>
            <w:pPr>
              <w:spacing w:line="260" w:lineRule="exact"/>
              <w:rPr>
                <w:rFonts w:ascii="Times New Roman" w:hAnsi="Times New Roman"/>
              </w:rPr>
            </w:pPr>
            <w:r>
              <w:rPr>
                <w:rFonts w:ascii="Times New Roman" w:hAnsi="Times New Roman"/>
              </w:rPr>
              <w:t>对违反《旅行社条例实施细则》第51条的行政处罚（旅行社擅自引进外商投资的）</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572"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139</w:t>
            </w:r>
          </w:p>
        </w:tc>
        <w:tc>
          <w:tcPr>
            <w:tcW w:w="2649" w:type="pct"/>
            <w:tcBorders>
              <w:top w:val="nil"/>
              <w:left w:val="nil"/>
              <w:bottom w:val="single" w:color="auto" w:sz="8" w:space="0"/>
              <w:right w:val="single" w:color="auto" w:sz="8" w:space="0"/>
            </w:tcBorders>
            <w:shd w:val="clear" w:color="auto" w:fill="auto"/>
            <w:noWrap w:val="0"/>
            <w:vAlign w:val="center"/>
          </w:tcPr>
          <w:p>
            <w:pPr>
              <w:spacing w:line="260" w:lineRule="exact"/>
              <w:rPr>
                <w:rFonts w:ascii="Times New Roman" w:hAnsi="Times New Roman"/>
              </w:rPr>
            </w:pPr>
            <w:r>
              <w:rPr>
                <w:rFonts w:ascii="Times New Roman" w:hAnsi="Times New Roman"/>
              </w:rPr>
              <w:t>对违反《中华人民共和国旅游法》第96条的行政处罚（旅行社未向临时聘用的导游支付导游服务费用的）</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572"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140</w:t>
            </w:r>
          </w:p>
        </w:tc>
        <w:tc>
          <w:tcPr>
            <w:tcW w:w="2649" w:type="pct"/>
            <w:tcBorders>
              <w:top w:val="nil"/>
              <w:left w:val="nil"/>
              <w:bottom w:val="single" w:color="auto" w:sz="8" w:space="0"/>
              <w:right w:val="single" w:color="auto" w:sz="8" w:space="0"/>
            </w:tcBorders>
            <w:shd w:val="clear" w:color="auto" w:fill="auto"/>
            <w:noWrap w:val="0"/>
            <w:vAlign w:val="center"/>
          </w:tcPr>
          <w:p>
            <w:pPr>
              <w:spacing w:line="260" w:lineRule="exact"/>
              <w:rPr>
                <w:rFonts w:ascii="Times New Roman" w:hAnsi="Times New Roman"/>
              </w:rPr>
            </w:pPr>
            <w:r>
              <w:rPr>
                <w:rFonts w:ascii="Times New Roman" w:hAnsi="Times New Roman"/>
              </w:rPr>
              <w:t>对违反《旅行社条例》（国务院令第550号）第50条的行政处罚（旅行社不按照国家有关规定向旅游行政管理部门报送经营和财务信息等统计资料实施的）</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9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对违反《旅行社条例》（国务院令第550号）第46条的行政处罚（旅行社服务网点从事招徕、咨询以外的活动实施的）</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对风景名胜区内从事禁止范围内以外的建设活动,未经风景名胜区管理机构审核的处罚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使用不符合规定的车辆、船舶承担旅游运输的</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60"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对未经风景名胜区管理机构审核，在风景名胜区内进行影响生态和景观活动的处罚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对妨碍国（边）境管理受到刑事处罚的，旅行社被吊销旅行社业务经营许可行为的处罚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388"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对在景物、设施上刻划、涂污或者在风景名胜区内乱扔垃圾的处罚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对娱乐场所为未经批准的营业性演出活动提供场地的处罚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30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对擅自从事互联网上网服务经营活动的处罚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对伪造、变造、出租、出借、买卖营业性演出许可证、批准文件，或者以非法手段取得营业性演出许可证、批准文件的处罚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17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对娱乐场所未悬挂娱乐经营许可证或在场所显著位置未标注“12318”举报电话的处罚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25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对擅自从事经营性娱乐场所经营活动行为的处罚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对未经批准，擅自从事经营性互联网文化活动的处罚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449"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对娱乐场所容纳的消费者超过核定人数的处罚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对艺术品经营单位经营含有法律禁止内容艺术品的处罚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对互联网文化单位未建立自审制度，明确专门部门，配备专业人员负责互联网文化产品内容和活动的自查与管理，保障互联网文化产品内容和活动的合法性的处罚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对互联网上网服务营业场所经营单位接纳未成年人进入营业场所的行为处罚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212"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娱乐场所未按照规定悬挂警示标志、未成年人禁入或者限入标志的行政处罚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27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对娱乐场所拒不配合文化主管部门的日常检查和技术监管措施的处罚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7"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对擅自设置文艺表演团体、机构或违规从事营业性演出、公益演出活动的处罚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121"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对互联网上网服务营业场所经营单位违反规定，涂改、出租、出借或者以其他方式转让许可证的处罚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30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对歌舞娱乐场所的歌曲点播系统与境外的曲库连接的处罚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22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对演出举办单位、文艺表演团体、演员为演员假唱提供条件的处罚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289"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对文艺表演团体和演出经纪机构、演出场所经营单位变更名称、住所、法定代表人或者主要负责人未向原发证机关申请换发营业性演出许可证及未办理备案手续的处罚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9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对演出举办单位、文艺表演团体、经纪机构、演出场所经营单位违规举办或在演出中擅自变更演出信息的处罚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751"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对演出举办单位、演出场所经营单位举办的营业性演出节目含有法律禁止内容或发现禁止内容未予制止的处罚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对擅自从事营业性演出经营活动的处罚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对演出举办单位、文艺表演团体、演员违规行为的处罚：1.对演出举办单位、文艺表演团体、演员非因不可抗力中止、停止或者退出演出的处罚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对游艺娱乐场所设置的电子游戏机在国家法定节假日外向未成年人提供的处罚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43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对互联网上网服务营业场所未按规定核对、登记上网消费者的有效身份证件或者记录有关上网信息的处罚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对互联网上网服务营业场所擅自停止实施经营管理技术措施的处罚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对互联网上网服务营业场所经营单位未悬挂《网络文化经营许可证》或者未成年人禁入标志的处罚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对互联网文化单位违反本规定第十五条，经营国产互联网文化产品逾期未报文化行政部门备案的处罚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481"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173</w:t>
            </w:r>
          </w:p>
        </w:tc>
        <w:tc>
          <w:tcPr>
            <w:tcW w:w="2649" w:type="pct"/>
            <w:tcBorders>
              <w:top w:val="nil"/>
              <w:left w:val="nil"/>
              <w:bottom w:val="single" w:color="auto" w:sz="8" w:space="0"/>
              <w:right w:val="single" w:color="auto" w:sz="8" w:space="0"/>
            </w:tcBorders>
            <w:shd w:val="clear" w:color="auto" w:fill="auto"/>
            <w:noWrap w:val="0"/>
            <w:vAlign w:val="center"/>
          </w:tcPr>
          <w:p>
            <w:pPr>
              <w:spacing w:line="260" w:lineRule="exact"/>
              <w:rPr>
                <w:rFonts w:ascii="Times New Roman" w:hAnsi="Times New Roman"/>
              </w:rPr>
            </w:pPr>
            <w:r>
              <w:rPr>
                <w:rFonts w:ascii="Times New Roman" w:hAnsi="Times New Roman"/>
              </w:rPr>
              <w:t>对歌舞娱乐场所播放的曲目、屏幕画面或者游艺娱乐场所电子游戏机内的游戏项目含有本条例第十三条禁止内容的处罚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174</w:t>
            </w:r>
          </w:p>
        </w:tc>
        <w:tc>
          <w:tcPr>
            <w:tcW w:w="2649" w:type="pct"/>
            <w:tcBorders>
              <w:top w:val="nil"/>
              <w:left w:val="nil"/>
              <w:bottom w:val="single" w:color="auto" w:sz="8" w:space="0"/>
              <w:right w:val="single" w:color="auto" w:sz="8" w:space="0"/>
            </w:tcBorders>
            <w:shd w:val="clear" w:color="auto" w:fill="auto"/>
            <w:noWrap w:val="0"/>
            <w:vAlign w:val="center"/>
          </w:tcPr>
          <w:p>
            <w:pPr>
              <w:spacing w:line="260" w:lineRule="exact"/>
              <w:rPr>
                <w:rFonts w:ascii="Times New Roman" w:hAnsi="Times New Roman"/>
              </w:rPr>
            </w:pPr>
            <w:r>
              <w:rPr>
                <w:rFonts w:ascii="Times New Roman" w:hAnsi="Times New Roman"/>
              </w:rPr>
              <w:t>对艺术品经营单位未按规定向文化部门备案行为的处罚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175</w:t>
            </w:r>
          </w:p>
        </w:tc>
        <w:tc>
          <w:tcPr>
            <w:tcW w:w="2649" w:type="pct"/>
            <w:tcBorders>
              <w:top w:val="nil"/>
              <w:left w:val="nil"/>
              <w:bottom w:val="single" w:color="auto" w:sz="8" w:space="0"/>
              <w:right w:val="single" w:color="auto" w:sz="8" w:space="0"/>
            </w:tcBorders>
            <w:shd w:val="clear" w:color="auto" w:fill="auto"/>
            <w:noWrap w:val="0"/>
            <w:vAlign w:val="center"/>
          </w:tcPr>
          <w:p>
            <w:pPr>
              <w:spacing w:line="260" w:lineRule="exact"/>
              <w:rPr>
                <w:rFonts w:ascii="Times New Roman" w:hAnsi="Times New Roman"/>
              </w:rPr>
            </w:pPr>
            <w:r>
              <w:rPr>
                <w:rFonts w:ascii="Times New Roman" w:hAnsi="Times New Roman"/>
              </w:rPr>
              <w:t>对互联网上网服务营业场所经营单位未建立场内巡查制度，或者发现上网消费者的违法行为未予制止并向文化行政部门、公安机关举报的处罚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176</w:t>
            </w:r>
          </w:p>
        </w:tc>
        <w:tc>
          <w:tcPr>
            <w:tcW w:w="2649" w:type="pct"/>
            <w:tcBorders>
              <w:top w:val="nil"/>
              <w:left w:val="nil"/>
              <w:bottom w:val="single" w:color="auto" w:sz="8" w:space="0"/>
              <w:right w:val="single" w:color="auto" w:sz="8" w:space="0"/>
            </w:tcBorders>
            <w:shd w:val="clear" w:color="auto" w:fill="auto"/>
            <w:noWrap w:val="0"/>
            <w:vAlign w:val="center"/>
          </w:tcPr>
          <w:p>
            <w:pPr>
              <w:spacing w:line="260" w:lineRule="exact"/>
              <w:rPr>
                <w:rFonts w:ascii="Times New Roman" w:hAnsi="Times New Roman"/>
              </w:rPr>
            </w:pPr>
            <w:r>
              <w:rPr>
                <w:rFonts w:ascii="Times New Roman" w:hAnsi="Times New Roman"/>
              </w:rPr>
              <w:t>对互联网上网服务营业场所经营单位变更名称、住所、法定代表人或者主要负责人、注册资本、网络地址或者终止经营活动，未向文化行政部门、公安机关办理有关手续或者备案的处罚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71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对娱乐场所未按规定建立从业人员名簿、营业日志，或者发现违法犯罪行为未按照规定报告的处罚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71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对娱乐场所变更有关事项，未按照本条例规定申请重新核发娱乐经营许可证的处罚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对娱乐场所在规定的禁止营业时间内营业的处罚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411"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对娱乐场所从业人员在营业期间未统一着装并佩带工作标识的的处罚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对歌舞娱乐场所接纳未成年人的处罚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对游艺娱乐场所设置未经文化主管部门内容核查的游戏游艺设备的处罚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对游艺娱乐场所进行有奖经营活动的，奖品目录未报所在地文化主管部门备案的处罚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4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互联网文化单位未在其网站主页的显著位置标明文化行政部门颁发的《网络文化经营许可证》编号或者备案编号，标明国务院信息产业主管部门或者省、自治区、直辖市电信管理机构颁发的经营许可证编号或者备案编号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1073"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互联网文化单位变更单位名称、域名、法定代表人或者主要负责人、注册地址、经营地址、股权结构以及许可经营范围的，未自变更之日起20日内到所在地省、自治区、直辖市人民政府文化行政部门办理变更或备案手续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1031"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对经营性互联网文化单位经营进口互联网文化产品未在其显著位置标明文化部批准文号、经营国产互联网文化产品未在其显著位置标明文化部备案编号的处罚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对经营性互联网文化单位擅自变更进口互联网文化产品的名称或者增删内容的处罚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对经营性互联网文化单位提供含有本规定第十六条禁止内容的互联网文化产品，或者提供未经文化部批准进口的互联网文化产品的的处罚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对未经批准，擅自出售演出门票的处罚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对演出举办单位、文艺表演团体、演员以假唱欺骗观众的处罚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对演出举办单位没有现场演唱、演奏记录的处罚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对非演出场所经营单位擅自举办演出行为的处罚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对举办营业性涉外或者涉港澳台演出，隐瞒近两年内违反《营业性演出管理条例》规定的记录，提交虚假书面声明的处罚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对演出经营单位超范围从事营业性演出经营活动的处罚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经文化部批准的涉外演出在批准的时间内增加演出地，未到演出所在地省级文化主管部门备案的处罚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对文艺表演团体、经济机构、演出场所经营单位、个体演员、个体经纪人未履行设立、变更审批或备案手续的处罚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对演出举办单位或者其法定代表人、主要负责人及其他直接责任人员在募捐义演中获取经济利益的处罚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对未在演出前向演出地主管部门出示合格证而搭建临时舞台、看台举办营业性演出的处罚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对以政府或者政府部门的名义举办营业性演出，或者营业性演出冠以"中国"、"中华"、"全国"、"国际"等字样的行政处罚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68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对经批准到艺术院校从事教学、研究工作的外国或者港澳台艺术人员擅自从事营业性演出的处罚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121"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对演出举办单位拒不接受检查的处罚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文化市场综合执法监督</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r>
              <w:rPr>
                <w:rFonts w:ascii="Times New Roman" w:hAnsi="Times New Roman"/>
              </w:rPr>
              <w:t>全国文化市场技术监管与服务平台</w:t>
            </w: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对境外组织或者个人未经批准在中华人民共和国境内进行非物质文化遗产调查的处罚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非物质文化遗产</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对境外组织或者个人在中华人民共和国境内进行非物质文化遗产调查结束后，未向批准调查的文化主管部门提交调查报告和调查中取得的实物图片、资料复制件的处罚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非物质文化遗产</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对境外组织在中华人民共和国境内进行非物质文化遗产调查，未与境内非物质文化遗产学术研究机构合作进行的处罚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非物质文化遗产</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55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对违反《博物馆条例》关于博物馆藏品、陈列展览、开放管理等相关规定的处罚:1.博物馆取得来源不明或来源不合法的藏品，或者陈列展览的主题、内容造成恶劣影响的处罚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5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对博物馆从事文物藏品的商业经营活动的处罚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5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博物馆未按规定向公众开放，或者未依照本条例的规定实行免费或者其他优惠的处罚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5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未经批准擅自修复、复制、拓印、拍摄馆藏珍贵文物的处罚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5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对擅自交换国有馆藏文物的处罚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5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对擅自处置国有馆藏文物的处罚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rPr>
            </w:pPr>
            <w:r>
              <w:rPr>
                <w:rFonts w:ascii="Times New Roman" w:hAns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56"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对擅自借用国有馆藏文物的处罚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212</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对未经批准擅自调取馆藏文物行为的处罚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对文物收藏单位未按照国家有关规定建立馆藏文物档案、管理制度，或者未将馆藏文物、管理制度备案行为的处罚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博物馆与社会文物</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214</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对未取得资质证书，擅自从事馆藏文物的修复、复制、拓印活动的处罚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215</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对考古发掘单位未在规定期限内提交结项报告或者考古发掘报告的处罚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24"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216</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对考古发掘单位未在规定期限内移交文物的处罚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285"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217</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对在工程建设、生产活动以及房屋拆迁过程中发现文物或者可能属于文物，在文物行政部门通知停工后仍强行施工、生产，或者在考古发掘结束前擅自恢复施工、生产等行为的处罚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892"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218</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对文物商店销售文物或者拍卖企业拍卖文物，未按照国家有关规定作出记录或者未将所作记录报文物行政部门备案行为的处罚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1199"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219</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对馆藏文物损毁未报文物行政部门核查处理，或者田野文物遭盗抢、破坏的，馆藏文物被盗、被抢、丢失的，文物收藏单位未及时向公安机关或者文物行政部门报告行为的处罚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807"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220</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对未取得相应等级的文物保护工程资质证书，擅自承担文物保护单位的修缮、迁移、重建工程的处罚</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行政处罚</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文物保护与考古</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r>
        <w:tblPrEx>
          <w:tblCellMar>
            <w:top w:w="0" w:type="dxa"/>
            <w:left w:w="108" w:type="dxa"/>
            <w:bottom w:w="0" w:type="dxa"/>
            <w:right w:w="108" w:type="dxa"/>
          </w:tblCellMar>
        </w:tblPrEx>
        <w:trPr>
          <w:trHeight w:val="612" w:hRule="atLeast"/>
          <w:jc w:val="center"/>
        </w:trPr>
        <w:tc>
          <w:tcPr>
            <w:tcW w:w="227" w:type="pct"/>
            <w:tcBorders>
              <w:top w:val="nil"/>
              <w:left w:val="single" w:color="auto" w:sz="8" w:space="0"/>
              <w:bottom w:val="single" w:color="auto" w:sz="8" w:space="0"/>
              <w:right w:val="single" w:color="auto" w:sz="8" w:space="0"/>
            </w:tcBorders>
            <w:shd w:val="clear" w:color="000000" w:fill="FFFFFF"/>
            <w:noWrap w:val="0"/>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221</w:t>
            </w:r>
          </w:p>
        </w:tc>
        <w:tc>
          <w:tcPr>
            <w:tcW w:w="2649" w:type="pct"/>
            <w:tcBorders>
              <w:top w:val="nil"/>
              <w:left w:val="nil"/>
              <w:bottom w:val="single" w:color="auto" w:sz="8" w:space="0"/>
              <w:right w:val="single" w:color="auto" w:sz="8" w:space="0"/>
            </w:tcBorders>
            <w:shd w:val="clear" w:color="auto" w:fill="auto"/>
            <w:noWrap w:val="0"/>
            <w:vAlign w:val="center"/>
          </w:tcPr>
          <w:p>
            <w:pPr>
              <w:rPr>
                <w:rFonts w:ascii="Times New Roman" w:hAnsi="Times New Roman"/>
              </w:rPr>
            </w:pPr>
            <w:r>
              <w:rPr>
                <w:rFonts w:ascii="Times New Roman" w:hAnsi="Times New Roman"/>
              </w:rPr>
              <w:t>旅游投诉处理</w:t>
            </w:r>
          </w:p>
        </w:tc>
        <w:tc>
          <w:tcPr>
            <w:tcW w:w="412" w:type="pct"/>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rPr>
            </w:pPr>
            <w:r>
              <w:rPr>
                <w:rFonts w:ascii="Times New Roman" w:hAnsi="Times New Roman"/>
              </w:rPr>
              <w:t>行政调解</w:t>
            </w:r>
          </w:p>
        </w:tc>
        <w:tc>
          <w:tcPr>
            <w:tcW w:w="796" w:type="pct"/>
            <w:tcBorders>
              <w:top w:val="nil"/>
              <w:left w:val="nil"/>
              <w:bottom w:val="single" w:color="auto" w:sz="8" w:space="0"/>
              <w:right w:val="single" w:color="auto" w:sz="8" w:space="0"/>
            </w:tcBorders>
            <w:shd w:val="clear" w:color="000000" w:fill="FFFFFF"/>
            <w:noWrap w:val="0"/>
            <w:vAlign w:val="center"/>
          </w:tcPr>
          <w:p>
            <w:pPr>
              <w:jc w:val="center"/>
              <w:rPr>
                <w:rFonts w:ascii="Times New Roman" w:hAnsi="Times New Roman"/>
              </w:rPr>
            </w:pPr>
            <w:r>
              <w:rPr>
                <w:rFonts w:ascii="Times New Roman" w:hAnsi="Times New Roman"/>
              </w:rPr>
              <w:t>旅游投诉处理机构</w:t>
            </w:r>
          </w:p>
        </w:tc>
        <w:tc>
          <w:tcPr>
            <w:tcW w:w="915" w:type="pct"/>
            <w:tcBorders>
              <w:top w:val="nil"/>
              <w:left w:val="nil"/>
              <w:bottom w:val="single" w:color="auto" w:sz="8" w:space="0"/>
              <w:right w:val="single" w:color="auto" w:sz="8" w:space="0"/>
            </w:tcBorders>
            <w:shd w:val="clear" w:color="000000" w:fill="FFFFFF"/>
            <w:noWrap w:val="0"/>
            <w:vAlign w:val="center"/>
          </w:tcPr>
          <w:p>
            <w:pPr>
              <w:spacing w:line="240" w:lineRule="exact"/>
              <w:jc w:val="center"/>
              <w:rPr>
                <w:rFonts w:ascii="Times New Roman" w:hAnsi="Times New Roman"/>
              </w:rPr>
            </w:pPr>
          </w:p>
        </w:tc>
      </w:tr>
    </w:tbl>
    <w:p>
      <w:pPr>
        <w:spacing w:line="20" w:lineRule="exact"/>
        <w:rPr>
          <w:rFonts w:ascii="仿宋_GB2312" w:eastAsia="仿宋_GB2312"/>
          <w:sz w:val="32"/>
          <w:szCs w:val="32"/>
        </w:rPr>
        <w:sectPr>
          <w:pgSz w:w="16838" w:h="11906" w:orient="landscape"/>
          <w:pgMar w:top="1800" w:right="1440" w:bottom="1800" w:left="1440" w:header="851" w:footer="992" w:gutter="0"/>
          <w:cols w:space="425" w:num="1"/>
          <w:docGrid w:type="line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73EE4"/>
    <w:rsid w:val="57F73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2019-12-31T01:02:00Z</dcterms:created>
  <dc:creator>陈乾良</dc:creator>
  <cp:lastModifiedBy>陈乾良</cp:lastModifiedBy>
  <dcterms:modified xsi:type="dcterms:W3CDTF">2019-12-31T01:03:36Z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