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附件4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50"/>
        <w:gridCol w:w="833"/>
        <w:gridCol w:w="534"/>
        <w:gridCol w:w="800"/>
        <w:gridCol w:w="1493"/>
        <w:gridCol w:w="1360"/>
        <w:gridCol w:w="1180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宋体" w:eastAsia="方正小标宋_GBK" w:cs="宋体"/>
                <w:kern w:val="0"/>
                <w:sz w:val="44"/>
                <w:szCs w:val="44"/>
              </w:rPr>
              <w:t>非本专业职务改报转评、晋升本专业职务审批表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何时何校何专业毕业及学制</w:t>
            </w: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现专业技术职务及时间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拟改报何专业职务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按照规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定符合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改报专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业申报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的条件</w:t>
            </w:r>
          </w:p>
        </w:tc>
        <w:tc>
          <w:tcPr>
            <w:tcW w:w="83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3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同级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3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3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580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注：1、附个人申报转评的有关材料。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8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2、按职称管理权限审批。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8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3、无此审批表，各评委会不得受理。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2BA64CD9"/>
    <w:rsid w:val="2BA6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2023-09-22T07:41:00Z</dcterms:created>
  <dc:creator>WYJZT²</dc:creator>
  <cp:lastModifiedBy>WYJZT²</cp:lastModifiedBy>
  <dcterms:modified xsi:type="dcterms:W3CDTF">2023-09-22T07:41:35Z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0BF400B46D1E4C8CA4C94CAA96D300D3_11</vt:lpwstr>
  </property>
</Properties>
</file>