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2024年湖北省文化和旅游厅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引进和推介优秀剧目奖励性补贴项目入选名单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lang w:val="en-US" w:eastAsia="zh-CN" w:bidi="ar"/>
        </w:rPr>
      </w:pPr>
      <w:r>
        <w:rPr>
          <w:rStyle w:val="8"/>
          <w:rFonts w:hint="eastAsia" w:ascii="方正黑体_GBK" w:hAnsi="方正黑体_GBK" w:eastAsia="方正黑体_GBK" w:cs="方正黑体_GBK"/>
          <w:lang w:val="en-US" w:eastAsia="zh-CN" w:bidi="ar"/>
        </w:rPr>
        <w:t>一、精品剧目引进项目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242"/>
        <w:gridCol w:w="3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申报单位或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文娱行业全球顶尖的英国柯十路公司（Crossroads Live）制作、安德鲁·劳埃德·韦伯创作英文原版音乐剧《剧院魅影续作：真爱永恒》由北京保利剧院管理有限公司联合引进全国巡演第三站（武汉）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琴台大剧院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法建交60周年特邀法语原版音乐剧《摇滚莫扎特》武汉展演，该剧2009年巴黎首演引发现象级反响，荣获NRJ音乐奖年度最佳团体、最佳新人、最佳单曲三项大奖，该剧专辑稳居法国音乐专辑榜20周，该剧豆瓣评分高达9.4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琴台大剧院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长江文化艺术季“相约长江”合唱周匈牙利新艺术合唱团音乐会、哈萨克斯坦国立拜卡达莫夫合唱团演唱会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琴台大剧院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国家艺术基金大型舞台剧和作品滚动资助剧目、第十届中国舞蹈“荷花”舞剧奖、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2021年央视春晚舞蹈节目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上海歌舞团舞剧《朱鹮》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中宣部第十六届精神文明建设“五个一工程”优秀作品奖，上海杂技团杂技剧《战上海》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中宣部第十六届精神文明建设“五个一工程”优秀作品奖，浙江歌舞剧院歌剧《红船》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文化和旅游部2023全国演出市场社会效益和经济效益相统一优秀演出项目，深圳歌剧舞剧院舞剧《咏春》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湖北剧院</w:t>
            </w:r>
          </w:p>
        </w:tc>
      </w:tr>
    </w:tbl>
    <w:p>
      <w:pPr>
        <w:ind w:firstLine="640" w:firstLineChars="200"/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二、优秀剧目推介</w:t>
      </w:r>
      <w:r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项目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45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instrText xml:space="preserve"> HYPERLINK "https://baike.baidu.com/item/%E6%B0%91%E6%97%8F%E6%AD%8C%E5%89%A7/2974351?fromModule=lemma_inlink" \t "/home/thtf/Documents\\x/_blank"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民族歌剧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瑰宝，湖北红色经典歌剧《洪湖赤卫队》2024年柳州（精品剧目进广西签约项目）、张家界（中共张家界武陵源区委“八一”建军节签约项目）演出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文化和旅游部对外文化交流保留剧目、荆楚文化亮丽名片歌舞剧《编钟乐舞》2024年永州（潇湘记忆文艺品牌签约项目）、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柳州（精品剧目进广西签约项目）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演出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参加文化和旅游部举办的西南剧展80周年暨第八届全国话剧优秀剧目展演的话剧《屈原》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长江人民艺术剧院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参加中宣部、文化和旅游部举办的庆祝新中国成立75周年优秀剧目展演的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黄梅戏《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舞衣裳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湖北省戏曲艺术剧院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700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0C1E4544"/>
    <w:rsid w:val="0C1E4544"/>
    <w:rsid w:val="1FBDAAA4"/>
    <w:rsid w:val="5AF8A332"/>
    <w:rsid w:val="6C1F3B59"/>
    <w:rsid w:val="6F7153D0"/>
    <w:rsid w:val="7D253B30"/>
    <w:rsid w:val="7FFEBCC2"/>
    <w:rsid w:val="9FEF7A06"/>
    <w:rsid w:val="BFDE6A51"/>
    <w:rsid w:val="DAC9B8B5"/>
    <w:rsid w:val="DE6DA557"/>
    <w:rsid w:val="E7FF4891"/>
    <w:rsid w:val="EF5378FE"/>
    <w:rsid w:val="F65F1758"/>
    <w:rsid w:val="F7F51996"/>
    <w:rsid w:val="FBBFA77A"/>
    <w:rsid w:val="FBF83B2C"/>
    <w:rsid w:val="FDDFC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2024-11-18T00:56:00Z</dcterms:created>
  <dc:creator>。</dc:creator>
  <cp:lastModifiedBy>thtf</cp:lastModifiedBy>
  <dcterms:modified xsi:type="dcterms:W3CDTF">2024-12-04T15:02:49Z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2F1270C7F7D0477795DE8E8BBBEA2266_11</vt:lpwstr>
  </property>
</Properties>
</file>