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eastAsia="黑体"/>
          <w:kern w:val="0"/>
          <w:szCs w:val="32"/>
        </w:rPr>
      </w:pPr>
      <w:r>
        <w:rPr>
          <w:rFonts w:hAnsi="黑体" w:eastAsia="黑体"/>
          <w:kern w:val="0"/>
          <w:szCs w:val="32"/>
        </w:rPr>
        <w:t>附件</w:t>
      </w:r>
      <w:r>
        <w:rPr>
          <w:rFonts w:eastAsia="黑体"/>
          <w:kern w:val="0"/>
          <w:szCs w:val="32"/>
        </w:rPr>
        <w:t>1</w:t>
      </w:r>
    </w:p>
    <w:p>
      <w:pPr>
        <w:spacing w:line="560" w:lineRule="exact"/>
        <w:jc w:val="center"/>
        <w:rPr>
          <w:rFonts w:eastAsia="方正小标宋简体"/>
          <w:kern w:val="0"/>
          <w:sz w:val="44"/>
          <w:szCs w:val="44"/>
        </w:rPr>
      </w:pPr>
    </w:p>
    <w:p>
      <w:pPr>
        <w:spacing w:line="560" w:lineRule="exact"/>
        <w:jc w:val="center"/>
        <w:rPr>
          <w:rFonts w:eastAsia="方正小标宋简体"/>
          <w:color w:val="000000"/>
          <w:kern w:val="0"/>
          <w:sz w:val="44"/>
          <w:szCs w:val="44"/>
        </w:rPr>
      </w:pPr>
      <w:r>
        <w:rPr>
          <w:rFonts w:hAnsi="方正小标宋简体" w:eastAsia="方正小标宋简体"/>
          <w:color w:val="000000"/>
          <w:kern w:val="0"/>
          <w:sz w:val="44"/>
          <w:szCs w:val="44"/>
        </w:rPr>
        <w:t>湖北省公共文化服务体系示范区</w:t>
      </w:r>
    </w:p>
    <w:p>
      <w:pPr>
        <w:spacing w:line="560" w:lineRule="exact"/>
        <w:jc w:val="center"/>
        <w:rPr>
          <w:rFonts w:eastAsia="方正小标宋简体"/>
          <w:color w:val="000000"/>
        </w:rPr>
      </w:pPr>
      <w:r>
        <w:rPr>
          <w:rFonts w:hAnsi="方正小标宋简体" w:eastAsia="方正小标宋简体"/>
          <w:color w:val="000000"/>
          <w:kern w:val="0"/>
          <w:sz w:val="44"/>
          <w:szCs w:val="44"/>
        </w:rPr>
        <w:t>创建和管理工作方案</w:t>
      </w:r>
    </w:p>
    <w:p>
      <w:pPr>
        <w:autoSpaceDN w:val="0"/>
        <w:adjustRightInd w:val="0"/>
        <w:snapToGrid w:val="0"/>
        <w:spacing w:before="217" w:beforeLines="50" w:line="560" w:lineRule="exact"/>
        <w:jc w:val="center"/>
        <w:rPr>
          <w:rFonts w:eastAsia="楷体_GB2312"/>
          <w:color w:val="000000"/>
        </w:rPr>
      </w:pPr>
      <w:r>
        <w:rPr>
          <w:rFonts w:eastAsia="楷体_GB2312"/>
          <w:color w:val="000000"/>
        </w:rPr>
        <w:t>（2020年修订）</w:t>
      </w:r>
    </w:p>
    <w:p>
      <w:pPr>
        <w:autoSpaceDN w:val="0"/>
        <w:spacing w:line="400" w:lineRule="exact"/>
        <w:ind w:firstLine="640" w:firstLineChars="200"/>
        <w:rPr>
          <w:color w:val="000000"/>
        </w:rPr>
      </w:pPr>
    </w:p>
    <w:p>
      <w:pPr>
        <w:spacing w:line="576" w:lineRule="exact"/>
        <w:rPr>
          <w:color w:val="000000"/>
        </w:rPr>
      </w:pPr>
      <w:r>
        <w:rPr>
          <w:color w:val="000000"/>
        </w:rPr>
        <w:t xml:space="preserve">    为贯彻落实《中华人民共和国公共文化服务保障法》《中共中央办公厅 国务院办公厅关于加快构建现代公共文化服务体系的意见》《湖北省公共文化服务保障条例》和湖北省实施意见等要求，建立健全现代公共文化服务体系建设工作机制，完善公共文化服务体系，提升服务效能，推广典型经验，引领科学发展，制定湖北省公共文化服务体系示范区创建和管理工作方案。</w:t>
      </w:r>
    </w:p>
    <w:p>
      <w:pPr>
        <w:autoSpaceDN w:val="0"/>
        <w:spacing w:line="576" w:lineRule="exact"/>
        <w:ind w:firstLine="640" w:firstLineChars="200"/>
        <w:rPr>
          <w:rFonts w:eastAsia="黑体"/>
          <w:color w:val="000000"/>
        </w:rPr>
      </w:pPr>
      <w:r>
        <w:rPr>
          <w:rFonts w:hAnsi="黑体" w:eastAsia="黑体"/>
          <w:color w:val="000000"/>
        </w:rPr>
        <w:t>一、指导思想</w:t>
      </w:r>
    </w:p>
    <w:p>
      <w:pPr>
        <w:autoSpaceDN w:val="0"/>
        <w:spacing w:line="576" w:lineRule="exact"/>
        <w:ind w:firstLine="640" w:firstLineChars="200"/>
        <w:rPr>
          <w:color w:val="000000"/>
        </w:rPr>
      </w:pPr>
      <w:r>
        <w:rPr>
          <w:rFonts w:hAnsi="仿宋_GB2312"/>
          <w:color w:val="000000"/>
        </w:rPr>
        <w:t>以习近平新时代中国特色社会主义思想为指导，深入贯彻十九大和十九届二中、三中、四中、五中全会精神，根据中央和省委、省政府关于推进公共文化服务高质量发展的总体要求，坚持</w:t>
      </w:r>
      <w:r>
        <w:rPr>
          <w:color w:val="000000"/>
        </w:rPr>
        <w:t>“</w:t>
      </w:r>
      <w:r>
        <w:rPr>
          <w:rFonts w:hAnsi="仿宋_GB2312"/>
          <w:color w:val="000000"/>
        </w:rPr>
        <w:t>政府主导、社会力量参与</w:t>
      </w:r>
      <w:r>
        <w:rPr>
          <w:color w:val="000000"/>
        </w:rPr>
        <w:t>”</w:t>
      </w:r>
      <w:r>
        <w:rPr>
          <w:rFonts w:hAnsi="仿宋_GB2312"/>
          <w:color w:val="000000"/>
        </w:rPr>
        <w:t>的原则，按照公益性、基本性、均等性、便利性的要求，充分调动各地政府的主动性和积极性，推广转化</w:t>
      </w:r>
      <w:r>
        <w:rPr>
          <w:color w:val="000000"/>
        </w:rPr>
        <w:t>“</w:t>
      </w:r>
      <w:r>
        <w:rPr>
          <w:rFonts w:hAnsi="仿宋_GB2312"/>
          <w:color w:val="000000"/>
        </w:rPr>
        <w:t>十三五</w:t>
      </w:r>
      <w:r>
        <w:rPr>
          <w:color w:val="000000"/>
        </w:rPr>
        <w:t>”</w:t>
      </w:r>
      <w:r>
        <w:rPr>
          <w:rFonts w:hAnsi="仿宋_GB2312"/>
          <w:color w:val="000000"/>
        </w:rPr>
        <w:t>国家、省级公共文化服务体系示范区（项目）建设成果，</w:t>
      </w:r>
      <w:r>
        <w:rPr>
          <w:color w:val="000000"/>
        </w:rPr>
        <w:t>“</w:t>
      </w:r>
      <w:r>
        <w:rPr>
          <w:rFonts w:hAnsi="仿宋_GB2312"/>
          <w:color w:val="000000"/>
        </w:rPr>
        <w:t>十四五</w:t>
      </w:r>
      <w:r>
        <w:rPr>
          <w:color w:val="000000"/>
        </w:rPr>
        <w:t>”</w:t>
      </w:r>
      <w:r>
        <w:rPr>
          <w:rFonts w:hAnsi="仿宋_GB2312"/>
          <w:color w:val="000000"/>
        </w:rPr>
        <w:t>期间开展湖北省第四批、第五批公共文化服务体系示范区创建工作并实施省级公共文化服务体系示范区动态管理。通过示范创建、典型带动，进一步推进全省公共文化服务体系建设高质量发展，满足新时代人民群众对文化生活的美好向往。通过动态管理、示范区回头看，鼓励争优、不断创新、提质增效。</w:t>
      </w:r>
    </w:p>
    <w:p>
      <w:pPr>
        <w:autoSpaceDN w:val="0"/>
        <w:spacing w:line="576" w:lineRule="exact"/>
        <w:ind w:firstLine="640" w:firstLineChars="200"/>
        <w:rPr>
          <w:rFonts w:eastAsia="黑体"/>
          <w:color w:val="000000"/>
        </w:rPr>
      </w:pPr>
      <w:r>
        <w:rPr>
          <w:rFonts w:eastAsia="黑体"/>
          <w:color w:val="000000"/>
        </w:rPr>
        <w:t>二、基本原则</w:t>
      </w:r>
    </w:p>
    <w:p>
      <w:pPr>
        <w:spacing w:line="576" w:lineRule="exact"/>
        <w:ind w:firstLine="643" w:firstLineChars="200"/>
        <w:rPr>
          <w:b/>
          <w:color w:val="000000"/>
        </w:rPr>
      </w:pPr>
      <w:r>
        <w:rPr>
          <w:rFonts w:hAnsi="楷体_GB2312" w:eastAsia="楷体_GB2312"/>
          <w:b/>
          <w:color w:val="000000"/>
        </w:rPr>
        <w:t>政府主导、社会参与。</w:t>
      </w:r>
      <w:r>
        <w:rPr>
          <w:color w:val="000000"/>
        </w:rPr>
        <w:t>充分发挥示范区和示范区创建地党委政府的主导作用，有效落实政府主体责任，调动社会力量积极参与，形成政府主导、社会广泛参与的创建工作格局，协同推进示范区现代公共文化服务体系建设。</w:t>
      </w:r>
    </w:p>
    <w:p>
      <w:pPr>
        <w:spacing w:line="576" w:lineRule="exact"/>
        <w:ind w:firstLine="643" w:firstLineChars="200"/>
        <w:rPr>
          <w:color w:val="000000"/>
        </w:rPr>
      </w:pPr>
      <w:r>
        <w:rPr>
          <w:rFonts w:hAnsi="楷体_GB2312" w:eastAsia="楷体_GB2312"/>
          <w:b/>
          <w:color w:val="000000"/>
        </w:rPr>
        <w:t>科学规划、重点突出。</w:t>
      </w:r>
      <w:r>
        <w:rPr>
          <w:color w:val="000000"/>
        </w:rPr>
        <w:t>按照中央和省委、省政府要求，</w:t>
      </w:r>
      <w:r>
        <w:rPr>
          <w:rFonts w:hAnsi="仿宋_GB2312"/>
          <w:color w:val="000000"/>
        </w:rPr>
        <w:t>深入贯彻《湖北省公共文化服务保障条例》，</w:t>
      </w:r>
      <w:r>
        <w:rPr>
          <w:color w:val="000000"/>
        </w:rPr>
        <w:t>进行科学合理的规划，既有长远发展目标又有近期实施方案，既有整体规划又有重点攻关，借鉴国家、省级示范区创建成功经验，集中力量解决现代公共文化服务体系建设的重点、难点问题。</w:t>
      </w:r>
    </w:p>
    <w:p>
      <w:pPr>
        <w:autoSpaceDN w:val="0"/>
        <w:spacing w:line="576" w:lineRule="exact"/>
        <w:ind w:firstLine="643" w:firstLineChars="200"/>
        <w:rPr>
          <w:color w:val="000000"/>
        </w:rPr>
      </w:pPr>
      <w:r>
        <w:rPr>
          <w:rFonts w:hAnsi="楷体_GB2312" w:eastAsia="楷体_GB2312"/>
          <w:b/>
          <w:color w:val="000000"/>
        </w:rPr>
        <w:t>改革创新、示范引领。</w:t>
      </w:r>
      <w:r>
        <w:rPr>
          <w:color w:val="000000"/>
        </w:rPr>
        <w:t>创新现代公共文化服务体系建设体制机制，建立符合社会主义市场经济体制要求、符合文化自身发展规律的现代公共文化服务体系建设模式和具有带动作用的示范项目，探索“文化+旅游+”融合发展新路径和新业态，整体推进当地文旅事业发展，促进文化和旅游公共服务设施融合、资源融合和活动融合，形成具有推广价值的典型经验，持续发挥示范引领作用。</w:t>
      </w:r>
    </w:p>
    <w:p>
      <w:pPr>
        <w:spacing w:line="576" w:lineRule="exact"/>
        <w:ind w:firstLine="643" w:firstLineChars="200"/>
        <w:rPr>
          <w:color w:val="000000"/>
        </w:rPr>
      </w:pPr>
      <w:r>
        <w:rPr>
          <w:rFonts w:hAnsi="楷体_GB2312" w:eastAsia="楷体_GB2312"/>
          <w:b/>
          <w:color w:val="000000"/>
        </w:rPr>
        <w:t>统筹协调、共建共享。</w:t>
      </w:r>
      <w:r>
        <w:rPr>
          <w:color w:val="000000"/>
        </w:rPr>
        <w:t>按照“政府组织、公众参与、多方兴办”的方式，实行多部门协调联动和政策配套，统筹推进不同批次示范区创建工作，促进联动和交流，实现共建共享。</w:t>
      </w:r>
    </w:p>
    <w:p>
      <w:pPr>
        <w:autoSpaceDN w:val="0"/>
        <w:spacing w:line="576" w:lineRule="exact"/>
        <w:ind w:firstLine="643" w:firstLineChars="200"/>
        <w:rPr>
          <w:color w:val="000000"/>
        </w:rPr>
      </w:pPr>
      <w:r>
        <w:rPr>
          <w:rFonts w:hAnsi="楷体_GB2312" w:eastAsia="楷体_GB2312"/>
          <w:b/>
          <w:color w:val="000000"/>
        </w:rPr>
        <w:t>惠及全民、提升效能。</w:t>
      </w:r>
      <w:r>
        <w:rPr>
          <w:rFonts w:hAnsi="仿宋_GB2312"/>
          <w:color w:val="000000"/>
        </w:rPr>
        <w:t>按照推进城乡经济社会发展一体化的要求，从满足基层群众特别是农民群众的文化需求出发，统筹城乡公共文化资源，提升公共文化服务覆盖面和实效性，切实保障广大群众的基本文化权益。</w:t>
      </w:r>
    </w:p>
    <w:p>
      <w:pPr>
        <w:autoSpaceDN w:val="0"/>
        <w:spacing w:line="576" w:lineRule="exact"/>
        <w:ind w:firstLine="640" w:firstLineChars="200"/>
        <w:rPr>
          <w:rFonts w:eastAsia="黑体"/>
          <w:color w:val="000000"/>
        </w:rPr>
      </w:pPr>
      <w:r>
        <w:rPr>
          <w:rFonts w:eastAsia="黑体"/>
          <w:color w:val="000000"/>
        </w:rPr>
        <w:t>三、创建任务</w:t>
      </w:r>
    </w:p>
    <w:p>
      <w:pPr>
        <w:autoSpaceDN w:val="0"/>
        <w:spacing w:line="576" w:lineRule="exact"/>
        <w:ind w:firstLine="643" w:firstLineChars="200"/>
        <w:rPr>
          <w:color w:val="000000"/>
          <w:kern w:val="0"/>
        </w:rPr>
      </w:pPr>
      <w:r>
        <w:rPr>
          <w:rFonts w:hAnsi="楷体_GB2312" w:eastAsia="楷体_GB2312"/>
          <w:b/>
          <w:color w:val="000000"/>
        </w:rPr>
        <w:t>（一）建立公共文化服务体系建设协调机制。</w:t>
      </w:r>
      <w:r>
        <w:rPr>
          <w:color w:val="000000"/>
        </w:rPr>
        <w:t>立足本地实际，完善党委领导、政府管理、部门协同、权责明确、统筹推进的公共文化服务体系建设管理制度，保证公共文化设施的正常使用和运转。建立由党政主要领导牵头的</w:t>
      </w:r>
      <w:r>
        <w:rPr>
          <w:color w:val="000000"/>
          <w:kern w:val="0"/>
        </w:rPr>
        <w:t>公共文化服务体系建设协调机制，在规划编制、政策衔接、标准制定和实施、资源配置等方面加强统筹。</w:t>
      </w:r>
      <w:r>
        <w:rPr>
          <w:color w:val="000000"/>
        </w:rPr>
        <w:t>发挥基层党委政府作用，统筹实施各类重大文化项目，实现共建共享。建立健全法人治理结构，加强对各类文化惠民工程的统筹管理，实现农村、城市社区公共文化服务资源整合和互联互通。</w:t>
      </w:r>
    </w:p>
    <w:p>
      <w:pPr>
        <w:autoSpaceDN w:val="0"/>
        <w:spacing w:line="576" w:lineRule="exact"/>
        <w:ind w:firstLine="643" w:firstLineChars="200"/>
        <w:rPr>
          <w:color w:val="000000"/>
        </w:rPr>
      </w:pPr>
      <w:r>
        <w:rPr>
          <w:rFonts w:hAnsi="楷体_GB2312" w:eastAsia="楷体_GB2312"/>
          <w:b/>
          <w:color w:val="000000"/>
        </w:rPr>
        <w:t>（二）建成覆盖城乡、功能健全、便捷高效的公共文化设施网络。</w:t>
      </w:r>
      <w:r>
        <w:rPr>
          <w:color w:val="000000"/>
        </w:rPr>
        <w:t>建成场馆服务设施、流动服务设施和数字服务设施有机结合、互为补充的公共文化设施网络，达到全省先进水平。充分利用现有城乡公共设施，全面整合宣传文化、党员教育、科技普及、普法教育、体育健身等功能。推进基层综合文化服务中心配套建设和文体广场的提档升级。以县级图书馆、文化馆为中心推进总分馆制建设，分馆或服务点覆盖95%以上的乡镇（街道）。</w:t>
      </w:r>
    </w:p>
    <w:p>
      <w:pPr>
        <w:autoSpaceDN w:val="0"/>
        <w:spacing w:line="576" w:lineRule="exact"/>
        <w:ind w:firstLine="643" w:firstLineChars="200"/>
        <w:rPr>
          <w:color w:val="000000"/>
        </w:rPr>
      </w:pPr>
      <w:r>
        <w:rPr>
          <w:rFonts w:hAnsi="楷体_GB2312" w:eastAsia="楷体_GB2312"/>
          <w:b/>
          <w:color w:val="000000"/>
        </w:rPr>
        <w:t>（三）推动基本公共文化服务标准落实。</w:t>
      </w:r>
      <w:r>
        <w:rPr>
          <w:color w:val="000000"/>
        </w:rPr>
        <w:t>根据《国家基本公共文化服务指导标准》和我省基本公共文化服务实施标准，制定实施方案，明确落实举措、工作步骤、时间安排</w:t>
      </w:r>
      <w:r>
        <w:rPr>
          <w:color w:val="000000"/>
          <w:kern w:val="0"/>
        </w:rPr>
        <w:t>及应具备的公共文化服务基本条件和政府保障责任，实行标准实施情况定期监测，建立健全实施标准动态调整机制，</w:t>
      </w:r>
      <w:r>
        <w:rPr>
          <w:color w:val="000000"/>
        </w:rPr>
        <w:t>推动基本公共文化服务标准落实。鼓励结合实际制定县（市、区）实施标准、行业标准，其具体指标应不低于国家和省级标准。</w:t>
      </w:r>
    </w:p>
    <w:p>
      <w:pPr>
        <w:spacing w:line="576" w:lineRule="exact"/>
        <w:ind w:firstLine="643" w:firstLineChars="200"/>
        <w:rPr>
          <w:color w:val="000000"/>
        </w:rPr>
      </w:pPr>
      <w:r>
        <w:rPr>
          <w:rFonts w:hAnsi="楷体_GB2312" w:eastAsia="楷体_GB2312"/>
          <w:b/>
          <w:color w:val="000000"/>
        </w:rPr>
        <w:t>（四）促进公共文化服务城乡均等、区域均衡、人群均等。</w:t>
      </w:r>
      <w:r>
        <w:rPr>
          <w:color w:val="000000"/>
          <w:kern w:val="0"/>
        </w:rPr>
        <w:t>把基本公共文化服务均等化纳入本地国民经济和社会发展总体规划及城乡规划。统筹城乡公共文化设施布局、服务提供、队伍建设、资金保障，均衡配置公共文化资源。根据国家和省级基本公共文化服务标准，明确城乡基层公共文化服务和资源缺口，集中实施文化惠民项目。将老年人、未成年人、残疾人、农民工、农村留守妇女儿童、生活困难群众作为公共文化服务的重点对象项目化，保障基本文化权益。将农民工文化建设纳入本地公共文化服务体系，以公共文化机构、社区和用工企业为实施主体，满足农民工群体尤其是新生代农民工的基本文化需求。</w:t>
      </w:r>
    </w:p>
    <w:p>
      <w:pPr>
        <w:autoSpaceDN w:val="0"/>
        <w:spacing w:line="576" w:lineRule="exact"/>
        <w:ind w:firstLine="643" w:firstLineChars="200"/>
        <w:rPr>
          <w:color w:val="000000"/>
          <w:kern w:val="0"/>
        </w:rPr>
      </w:pPr>
      <w:r>
        <w:rPr>
          <w:rFonts w:hAnsi="楷体_GB2312" w:eastAsia="楷体_GB2312"/>
          <w:b/>
          <w:bCs/>
          <w:color w:val="000000"/>
        </w:rPr>
        <w:t>（五）提高公共文化服务社会化水平。</w:t>
      </w:r>
      <w:r>
        <w:rPr>
          <w:color w:val="000000"/>
        </w:rPr>
        <w:t>充分利用公共文化服务设施，引导和鼓励社会力量参与公共文化服务。促进优秀公共文化产品的提供和传播，支持开展全民阅读、艺术普及、优秀传统文化传承等活动。探索公共文化服务培育和促进文化消费的途径和方式。</w:t>
      </w:r>
      <w:r>
        <w:rPr>
          <w:color w:val="000000"/>
          <w:kern w:val="0"/>
        </w:rPr>
        <w:t>建立健全政府向社会力量购买公共文化服务机制，出台政府购买公共文化服务管理办法和具体购买目录，将政府购买公共文化服务资金纳入本地财政预算。制定鼓励和支持社会力量通过投资或捐助设施设备、兴办实体、资助项目、赞助活动、提供产品和服务等方式参与公共文化服务体系建设的相关政策。探索政府和社会资本合作模式在公共文化服务中的应用，促进提供主体和提供方式多元化。探索开展公共文化设施社会化运营试点，提高管理、运行和服务效率。建立健全文化志愿者注册招募、服务记录、管理评价和激励保障机制，发展文旅志愿服务，拓展“文化志愿者+旅游志愿者+”社会参与功能。培育和规范文化类社会组织，将文化类社会组织纳入本地政府购买公共文化服务承接主体，引导文化类社会组织依法依规开展公共文化服务。</w:t>
      </w:r>
    </w:p>
    <w:p>
      <w:pPr>
        <w:autoSpaceDN w:val="0"/>
        <w:spacing w:line="576" w:lineRule="exact"/>
        <w:ind w:firstLine="643" w:firstLineChars="200"/>
        <w:rPr>
          <w:b/>
          <w:color w:val="000000"/>
        </w:rPr>
      </w:pPr>
      <w:r>
        <w:rPr>
          <w:rFonts w:hAnsi="楷体_GB2312" w:eastAsia="楷体_GB2312"/>
          <w:b/>
          <w:bCs/>
          <w:color w:val="000000"/>
        </w:rPr>
        <w:t>（六）提高公共数字文化服务水平。</w:t>
      </w:r>
      <w:r>
        <w:rPr>
          <w:color w:val="000000"/>
          <w:kern w:val="0"/>
        </w:rPr>
        <w:t>结合本地实施的重大信息工程建设，推动公共文化服务与科技融合，加快</w:t>
      </w:r>
      <w:r>
        <w:rPr>
          <w:color w:val="000000"/>
        </w:rPr>
        <w:t>推进公共文化机构数字化建设。灵活运用宽带互联网、移动互联网、广播电视网等手段，拓宽公共文化资源传输渠道。统筹实施数字图书馆、数字文化馆、数字博物馆建设和直播卫星广播电视公共服务、农村数字电影放映、数字农家书屋、城乡电子阅报屏建设等项目，实现县级公共文化场馆与市级、省级公共文化场馆的数字化网络互联互通资源共享。构建标准统一、互联互通的公共数字文化服务网络，在基层实现共建共享。</w:t>
      </w:r>
    </w:p>
    <w:p>
      <w:pPr>
        <w:autoSpaceDN w:val="0"/>
        <w:spacing w:line="576" w:lineRule="exact"/>
        <w:ind w:firstLine="643" w:firstLineChars="200"/>
        <w:rPr>
          <w:color w:val="000000"/>
        </w:rPr>
      </w:pPr>
      <w:r>
        <w:rPr>
          <w:rFonts w:hAnsi="楷体_GB2312" w:eastAsia="楷体_GB2312"/>
          <w:b/>
          <w:bCs/>
          <w:color w:val="000000"/>
        </w:rPr>
        <w:t>（七）完善公共文化服务绩效评价体系。</w:t>
      </w:r>
      <w:r>
        <w:rPr>
          <w:color w:val="000000"/>
        </w:rPr>
        <w:t>坚持设施建设和运行管理并重，健全公共文化设施运行管理和服务标准体系，规范公共文化机构服务项目和服务流程，完善内部管理制度，提高服务水平。研究制定本地公众满意度指标，完善群众文化需求反馈机制，探索建立公共文化服务第三方评价机制，公布公共文化服务提供目录和有关信息，开展“菜单式”“订单式”服务。制定县乡政府公共文化服务、文旅法治建设考核指标，作为考核评价领导班子和领导干部政绩的重要内容，纳入本地科学发展考核体系。建立公共文化机构绩效考评制度，考评结果作为确定预算、收入分配与负责人奖惩的重要依据。</w:t>
      </w:r>
    </w:p>
    <w:p>
      <w:pPr>
        <w:autoSpaceDN w:val="0"/>
        <w:spacing w:line="576" w:lineRule="exact"/>
        <w:ind w:firstLine="643" w:firstLineChars="200"/>
        <w:rPr>
          <w:color w:val="000000"/>
        </w:rPr>
      </w:pPr>
      <w:r>
        <w:rPr>
          <w:rFonts w:hAnsi="楷体_GB2312" w:eastAsia="楷体_GB2312"/>
          <w:b/>
          <w:bCs/>
          <w:color w:val="000000"/>
        </w:rPr>
        <w:t>（八）探索文化和旅游公共服务融合发展路径。</w:t>
      </w:r>
      <w:r>
        <w:rPr>
          <w:color w:val="000000"/>
        </w:rPr>
        <w:t>文化和旅游公共服务设施共建，在公共图书馆、文化馆、博物馆开展旅游信息服务，在基层综合文化服务中心增加旅游信息咨询中心、旅游集散中心功能，在旅游服务设施增设文化活动室、图书阅览室等文化惠民功能。</w:t>
      </w:r>
      <w:r>
        <w:rPr>
          <w:rFonts w:hAnsi="仿宋_GB2312"/>
          <w:color w:val="000000"/>
        </w:rPr>
        <w:t>文化和旅游资源共享，</w:t>
      </w:r>
      <w:r>
        <w:rPr>
          <w:color w:val="000000"/>
        </w:rPr>
        <w:t>串联标志性文化设施，打造旅游路径。在</w:t>
      </w:r>
      <w:r>
        <w:rPr>
          <w:color w:val="000000"/>
          <w:spacing w:val="4"/>
        </w:rPr>
        <w:t>旅游资源富集、游客集中的地区，提升公共文化服务能力。</w:t>
      </w:r>
      <w:r>
        <w:rPr>
          <w:rFonts w:hAnsi="仿宋_GB2312"/>
          <w:color w:val="000000"/>
        </w:rPr>
        <w:t>文化和旅游活动共办，</w:t>
      </w:r>
      <w:r>
        <w:rPr>
          <w:color w:val="000000"/>
        </w:rPr>
        <w:t>把群众性文化活动和旅游宣传推介活动结合起来，把特色文化活动、文旅节庆活动打造成当地的旅游名片。</w:t>
      </w:r>
    </w:p>
    <w:p>
      <w:pPr>
        <w:autoSpaceDN w:val="0"/>
        <w:spacing w:line="576" w:lineRule="exact"/>
        <w:ind w:firstLine="643" w:firstLineChars="200"/>
        <w:rPr>
          <w:color w:val="000000"/>
        </w:rPr>
      </w:pPr>
      <w:r>
        <w:rPr>
          <w:rFonts w:hAnsi="楷体_GB2312" w:eastAsia="楷体_GB2312"/>
          <w:b/>
          <w:bCs/>
          <w:color w:val="000000"/>
        </w:rPr>
        <w:t>（九）创建地方特色的示范项目。</w:t>
      </w:r>
      <w:r>
        <w:rPr>
          <w:rFonts w:hAnsi="仿宋_GB2312"/>
          <w:color w:val="000000"/>
        </w:rPr>
        <w:t>已授牌和正在创建的省级公共文化服务体系示范区，要创建至少</w:t>
      </w:r>
      <w:r>
        <w:rPr>
          <w:color w:val="000000"/>
        </w:rPr>
        <w:t>2</w:t>
      </w:r>
      <w:r>
        <w:rPr>
          <w:rFonts w:hAnsi="仿宋_GB2312"/>
          <w:color w:val="000000"/>
        </w:rPr>
        <w:t>个公共文化服务体系示范项目，可包含</w:t>
      </w:r>
      <w:r>
        <w:rPr>
          <w:color w:val="000000"/>
        </w:rPr>
        <w:t>1</w:t>
      </w:r>
      <w:r>
        <w:rPr>
          <w:rFonts w:hAnsi="仿宋_GB2312"/>
          <w:color w:val="000000"/>
        </w:rPr>
        <w:t>个文旅融合项目，即就公共文化服务体系的某一方面、某一构成要素进行探索，为完善公共文化服务体系的构成要素、组成方面提供实践示范和制度建设经验。</w:t>
      </w:r>
    </w:p>
    <w:p>
      <w:pPr>
        <w:autoSpaceDN w:val="0"/>
        <w:spacing w:line="576" w:lineRule="exact"/>
        <w:ind w:firstLine="640" w:firstLineChars="200"/>
        <w:rPr>
          <w:rFonts w:eastAsia="黑体"/>
          <w:color w:val="000000"/>
        </w:rPr>
      </w:pPr>
      <w:r>
        <w:rPr>
          <w:rFonts w:hAnsi="黑体" w:eastAsia="黑体"/>
          <w:color w:val="000000"/>
        </w:rPr>
        <w:t>四、申报主体及基本条件</w:t>
      </w:r>
    </w:p>
    <w:p>
      <w:pPr>
        <w:autoSpaceDN w:val="0"/>
        <w:spacing w:line="576" w:lineRule="exact"/>
        <w:ind w:firstLine="643" w:firstLineChars="200"/>
        <w:rPr>
          <w:color w:val="000000"/>
        </w:rPr>
      </w:pPr>
      <w:r>
        <w:rPr>
          <w:rFonts w:hAnsi="楷体_GB2312" w:eastAsia="楷体_GB2312"/>
          <w:b/>
          <w:bCs/>
          <w:color w:val="000000"/>
        </w:rPr>
        <w:t>（一）示范区的申报主体：</w:t>
      </w:r>
      <w:r>
        <w:rPr>
          <w:rFonts w:hAnsi="仿宋_GB2312"/>
          <w:color w:val="000000"/>
        </w:rPr>
        <w:t>县（市、区）人民政府。</w:t>
      </w:r>
    </w:p>
    <w:p>
      <w:pPr>
        <w:autoSpaceDN w:val="0"/>
        <w:spacing w:line="576" w:lineRule="exact"/>
        <w:ind w:firstLine="643" w:firstLineChars="200"/>
        <w:rPr>
          <w:color w:val="000000"/>
        </w:rPr>
      </w:pPr>
      <w:r>
        <w:rPr>
          <w:rFonts w:hAnsi="楷体_GB2312" w:eastAsia="楷体_GB2312"/>
          <w:b/>
          <w:bCs/>
          <w:color w:val="000000"/>
        </w:rPr>
        <w:t>（二）申报基本条件：</w:t>
      </w:r>
      <w:r>
        <w:rPr>
          <w:rFonts w:hAnsi="仿宋_GB2312"/>
          <w:color w:val="000000"/>
        </w:rPr>
        <w:t>地方党委、政府积极性高；公共文化服务体系建设取得突出成绩；公共文化服务体系制度设计研究取得一定成果；文化和旅游公共服务融合发展取得一定成效；在全省产生较好影响，具有较强的综合示范带动作用。</w:t>
      </w:r>
    </w:p>
    <w:p>
      <w:pPr>
        <w:autoSpaceDN w:val="0"/>
        <w:spacing w:line="576" w:lineRule="exact"/>
        <w:ind w:firstLine="640" w:firstLineChars="200"/>
        <w:rPr>
          <w:rFonts w:eastAsia="黑体"/>
          <w:color w:val="000000"/>
        </w:rPr>
      </w:pPr>
      <w:r>
        <w:rPr>
          <w:rFonts w:eastAsia="黑体"/>
          <w:color w:val="000000"/>
        </w:rPr>
        <w:t>五、创建要求</w:t>
      </w:r>
    </w:p>
    <w:p>
      <w:pPr>
        <w:autoSpaceDN w:val="0"/>
        <w:spacing w:line="576" w:lineRule="exact"/>
        <w:ind w:firstLine="630" w:firstLineChars="196"/>
        <w:rPr>
          <w:b/>
          <w:color w:val="000000"/>
        </w:rPr>
      </w:pPr>
      <w:r>
        <w:rPr>
          <w:rFonts w:hAnsi="楷体_GB2312" w:eastAsia="楷体_GB2312"/>
          <w:b/>
          <w:color w:val="000000"/>
        </w:rPr>
        <w:t>（一）创新解决重点难点问题的机制和模式。</w:t>
      </w:r>
      <w:r>
        <w:rPr>
          <w:color w:val="000000"/>
        </w:rPr>
        <w:t>按照创建标准要求，吸纳、转化国家、省级示范区（项目）创建的成功经验，再培育一批具有典型示范意义的示范区，打造一批各具特色的示范项目，推动解决制约现代公共文化服务体系建设的突出矛盾和问题，探索不同类型地区的公共文化服务体系建设路径，以及文旅与经济、社会协调发展的机制和模式。</w:t>
      </w:r>
    </w:p>
    <w:p>
      <w:pPr>
        <w:autoSpaceDN w:val="0"/>
        <w:spacing w:line="576" w:lineRule="exact"/>
        <w:ind w:firstLine="643" w:firstLineChars="200"/>
        <w:rPr>
          <w:color w:val="000000"/>
        </w:rPr>
      </w:pPr>
      <w:r>
        <w:rPr>
          <w:rFonts w:hAnsi="楷体_GB2312" w:eastAsia="楷体_GB2312"/>
          <w:b/>
          <w:color w:val="000000"/>
        </w:rPr>
        <w:t>（二）总结提炼创建过程中的做法和经验。</w:t>
      </w:r>
      <w:r>
        <w:rPr>
          <w:color w:val="000000"/>
        </w:rPr>
        <w:t>依托示范区及示范区创建地，加快推进公共文化服务体系协调机制建设、公共文化服务标准化建设、公共文化机构法人治理结构建设、基层综合文化服务中心建设等工作，推动公共文化服务体制机制改革创新，把第一、二、三批省级示范区后续建设与第四批省级示范区创建工作有机衔接，统一标准要求，强化督查指导，注重总结提炼，为全省公共文化服务体系建设提供具有普遍示范价值的做法和经验。</w:t>
      </w:r>
    </w:p>
    <w:p>
      <w:pPr>
        <w:autoSpaceDN w:val="0"/>
        <w:spacing w:line="576" w:lineRule="exact"/>
        <w:ind w:firstLine="643" w:firstLineChars="200"/>
        <w:rPr>
          <w:color w:val="000000"/>
        </w:rPr>
      </w:pPr>
      <w:r>
        <w:rPr>
          <w:rFonts w:hAnsi="楷体_GB2312" w:eastAsia="楷体_GB2312"/>
          <w:b/>
          <w:color w:val="000000"/>
        </w:rPr>
        <w:t>（三）注重制度设计与创建实践的有效结合。</w:t>
      </w:r>
      <w:r>
        <w:rPr>
          <w:color w:val="000000"/>
        </w:rPr>
        <w:t>把</w:t>
      </w:r>
      <w:r>
        <w:rPr>
          <w:rFonts w:hAnsi="仿宋_GB2312"/>
          <w:color w:val="000000"/>
        </w:rPr>
        <w:t>公共文化服务体系制度设计</w:t>
      </w:r>
      <w:r>
        <w:rPr>
          <w:color w:val="000000"/>
        </w:rPr>
        <w:t>研究作为创建示范区验收的前置条件，鼓励示范区针对突出矛盾和问题开展制度设计研究，提出政策建议和工作方案，创新体制和机制，为构建现代公共文化服务体系提供理论指导和政策支持。</w:t>
      </w:r>
    </w:p>
    <w:p>
      <w:pPr>
        <w:autoSpaceDN w:val="0"/>
        <w:spacing w:line="576" w:lineRule="exact"/>
        <w:ind w:firstLine="643" w:firstLineChars="200"/>
        <w:rPr>
          <w:color w:val="000000"/>
        </w:rPr>
      </w:pPr>
      <w:r>
        <w:rPr>
          <w:rFonts w:hAnsi="楷体_GB2312" w:eastAsia="楷体_GB2312"/>
          <w:b/>
          <w:color w:val="000000"/>
        </w:rPr>
        <w:t>（四）加强示范创建与示范效应的宣传推广。</w:t>
      </w:r>
      <w:r>
        <w:rPr>
          <w:color w:val="000000"/>
        </w:rPr>
        <w:t>充分发挥示范区引领带动作用，促进示范区和示范区创建地之间的联动和交流，总结、推广典型经验，通过互看互学互评、召开经验交流会和工作研讨会、加强宣传报道、强化示范引领等方式予以推广。</w:t>
      </w:r>
    </w:p>
    <w:p>
      <w:pPr>
        <w:autoSpaceDN w:val="0"/>
        <w:spacing w:line="576" w:lineRule="exact"/>
        <w:ind w:firstLine="643" w:firstLineChars="200"/>
        <w:rPr>
          <w:color w:val="000000"/>
        </w:rPr>
      </w:pPr>
      <w:r>
        <w:rPr>
          <w:rFonts w:hAnsi="楷体_GB2312" w:eastAsia="楷体_GB2312"/>
          <w:b/>
          <w:color w:val="000000"/>
        </w:rPr>
        <w:t>（五）实施示范区创建</w:t>
      </w:r>
      <w:r>
        <w:rPr>
          <w:rFonts w:eastAsia="楷体_GB2312"/>
          <w:b/>
          <w:color w:val="000000"/>
        </w:rPr>
        <w:t>“</w:t>
      </w:r>
      <w:r>
        <w:rPr>
          <w:rFonts w:hAnsi="楷体_GB2312" w:eastAsia="楷体_GB2312"/>
          <w:b/>
          <w:color w:val="000000"/>
        </w:rPr>
        <w:t>回头看</w:t>
      </w:r>
      <w:r>
        <w:rPr>
          <w:rFonts w:eastAsia="楷体_GB2312"/>
          <w:b/>
          <w:color w:val="000000"/>
        </w:rPr>
        <w:t>”</w:t>
      </w:r>
      <w:r>
        <w:rPr>
          <w:rFonts w:hAnsi="楷体_GB2312" w:eastAsia="楷体_GB2312"/>
          <w:b/>
          <w:color w:val="000000"/>
        </w:rPr>
        <w:t>动态管理。</w:t>
      </w:r>
      <w:r>
        <w:rPr>
          <w:rFonts w:hAnsi="仿宋_GB2312"/>
          <w:color w:val="000000"/>
        </w:rPr>
        <w:t>坚持</w:t>
      </w:r>
      <w:r>
        <w:rPr>
          <w:color w:val="000000"/>
        </w:rPr>
        <w:t>“</w:t>
      </w:r>
      <w:r>
        <w:rPr>
          <w:rFonts w:hAnsi="仿宋_GB2312"/>
          <w:color w:val="000000"/>
        </w:rPr>
        <w:t>动态管理、强化基础、突出创新、提升效能</w:t>
      </w:r>
      <w:r>
        <w:rPr>
          <w:color w:val="000000"/>
        </w:rPr>
        <w:t>”</w:t>
      </w:r>
      <w:r>
        <w:rPr>
          <w:rFonts w:hAnsi="仿宋_GB2312"/>
          <w:color w:val="000000"/>
        </w:rPr>
        <w:t>的原则，按每</w:t>
      </w:r>
      <w:r>
        <w:rPr>
          <w:color w:val="000000"/>
        </w:rPr>
        <w:t>2</w:t>
      </w:r>
      <w:r>
        <w:rPr>
          <w:rFonts w:hAnsi="仿宋_GB2312"/>
          <w:color w:val="000000"/>
        </w:rPr>
        <w:t>年一个周期对已创建成功的公共文化服务体系示范区进行效能监测、群众满意度测评、实地核查复核。对示范区建设工作不力、退步明显的予以通报，并责令限期整改。对限期整改期满后再复核，仍未达标的示范区，予以摘牌。被摘牌的示范区，待整改完成后，可按照有关程序重新申报创建。</w:t>
      </w:r>
    </w:p>
    <w:p>
      <w:pPr>
        <w:autoSpaceDN w:val="0"/>
        <w:spacing w:line="576" w:lineRule="exact"/>
        <w:ind w:firstLine="640" w:firstLineChars="200"/>
        <w:rPr>
          <w:rFonts w:eastAsia="黑体"/>
          <w:color w:val="000000"/>
        </w:rPr>
      </w:pPr>
      <w:r>
        <w:rPr>
          <w:rFonts w:hAnsi="黑体" w:eastAsia="黑体"/>
          <w:color w:val="000000"/>
        </w:rPr>
        <w:t>六、创建标准</w:t>
      </w:r>
    </w:p>
    <w:p>
      <w:pPr>
        <w:autoSpaceDN w:val="0"/>
        <w:spacing w:line="576" w:lineRule="exact"/>
        <w:ind w:firstLine="640" w:firstLineChars="200"/>
        <w:rPr>
          <w:color w:val="000000"/>
        </w:rPr>
      </w:pPr>
      <w:r>
        <w:rPr>
          <w:rFonts w:hAnsi="仿宋_GB2312"/>
          <w:color w:val="000000"/>
        </w:rPr>
        <w:t>以《中华人民共和国公共文化服务保障法》《中华人民共和国公共图书馆法》《湖北省公共文化服务保障条例》等法律法规和公共图书馆、文化馆（站）、博物馆等公共文化设施建设标准、用地指标、评估定级标准等为依据，制定具体创建标准。</w:t>
      </w:r>
    </w:p>
    <w:p>
      <w:pPr>
        <w:autoSpaceDN w:val="0"/>
        <w:spacing w:line="576" w:lineRule="exact"/>
        <w:ind w:firstLine="640" w:firstLineChars="200"/>
        <w:rPr>
          <w:rFonts w:eastAsia="黑体"/>
          <w:color w:val="000000"/>
        </w:rPr>
      </w:pPr>
      <w:r>
        <w:rPr>
          <w:rFonts w:hAnsi="黑体" w:eastAsia="黑体"/>
          <w:color w:val="000000"/>
        </w:rPr>
        <w:t>七、创建安排</w:t>
      </w:r>
    </w:p>
    <w:p>
      <w:pPr>
        <w:autoSpaceDN w:val="0"/>
        <w:spacing w:line="576" w:lineRule="exact"/>
        <w:ind w:firstLine="643" w:firstLineChars="200"/>
        <w:rPr>
          <w:color w:val="000000"/>
        </w:rPr>
      </w:pPr>
      <w:r>
        <w:rPr>
          <w:rFonts w:hAnsi="楷体_GB2312" w:eastAsia="楷体_GB2312"/>
          <w:b/>
          <w:bCs/>
          <w:color w:val="000000"/>
        </w:rPr>
        <w:t>（一）创建周期：</w:t>
      </w:r>
      <w:r>
        <w:rPr>
          <w:color w:val="000000"/>
        </w:rPr>
        <w:t>2</w:t>
      </w:r>
      <w:r>
        <w:rPr>
          <w:rFonts w:hAnsi="仿宋_GB2312"/>
          <w:color w:val="000000"/>
        </w:rPr>
        <w:t>年</w:t>
      </w:r>
    </w:p>
    <w:p>
      <w:pPr>
        <w:autoSpaceDN w:val="0"/>
        <w:spacing w:line="576" w:lineRule="exact"/>
        <w:ind w:firstLine="643" w:firstLineChars="200"/>
        <w:rPr>
          <w:color w:val="000000"/>
        </w:rPr>
      </w:pPr>
      <w:r>
        <w:rPr>
          <w:rFonts w:hAnsi="楷体_GB2312" w:eastAsia="楷体_GB2312"/>
          <w:b/>
          <w:color w:val="000000"/>
        </w:rPr>
        <w:t>（二）创建管理：</w:t>
      </w:r>
      <w:r>
        <w:rPr>
          <w:rFonts w:hAnsi="仿宋_GB2312"/>
          <w:color w:val="000000"/>
        </w:rPr>
        <w:t>从</w:t>
      </w:r>
      <w:r>
        <w:rPr>
          <w:color w:val="000000"/>
        </w:rPr>
        <w:t>2021</w:t>
      </w:r>
      <w:r>
        <w:rPr>
          <w:rFonts w:hAnsi="仿宋_GB2312"/>
          <w:color w:val="000000"/>
        </w:rPr>
        <w:t>年开始创建，</w:t>
      </w:r>
      <w:r>
        <w:rPr>
          <w:color w:val="000000"/>
        </w:rPr>
        <w:t>10</w:t>
      </w:r>
      <w:r>
        <w:rPr>
          <w:rFonts w:hAnsi="仿宋_GB2312"/>
          <w:color w:val="000000"/>
        </w:rPr>
        <w:t>个县（市、区）经过</w:t>
      </w:r>
      <w:r>
        <w:rPr>
          <w:color w:val="000000"/>
        </w:rPr>
        <w:t>2</w:t>
      </w:r>
      <w:r>
        <w:rPr>
          <w:rFonts w:hAnsi="仿宋_GB2312"/>
          <w:color w:val="000000"/>
        </w:rPr>
        <w:t>年创建，评审验收后</w:t>
      </w:r>
      <w:r>
        <w:rPr>
          <w:color w:val="000000"/>
        </w:rPr>
        <w:t>,</w:t>
      </w:r>
      <w:r>
        <w:rPr>
          <w:rFonts w:hAnsi="仿宋_GB2312"/>
          <w:color w:val="000000"/>
        </w:rPr>
        <w:t>对符合条件的地区，命名</w:t>
      </w:r>
      <w:r>
        <w:rPr>
          <w:color w:val="000000"/>
        </w:rPr>
        <w:t>“</w:t>
      </w:r>
      <w:r>
        <w:rPr>
          <w:rFonts w:hAnsi="仿宋_GB2312"/>
          <w:color w:val="000000"/>
        </w:rPr>
        <w:t>湖北省公共文化服务体系示范区</w:t>
      </w:r>
      <w:r>
        <w:rPr>
          <w:color w:val="000000"/>
        </w:rPr>
        <w:t>”</w:t>
      </w:r>
      <w:r>
        <w:rPr>
          <w:rFonts w:hAnsi="仿宋_GB2312"/>
          <w:color w:val="000000"/>
        </w:rPr>
        <w:t>并授牌。</w:t>
      </w:r>
    </w:p>
    <w:p>
      <w:pPr>
        <w:autoSpaceDN w:val="0"/>
        <w:spacing w:line="576" w:lineRule="exact"/>
        <w:ind w:firstLine="643" w:firstLineChars="200"/>
        <w:rPr>
          <w:color w:val="000000"/>
        </w:rPr>
      </w:pPr>
      <w:r>
        <w:rPr>
          <w:rFonts w:hAnsi="楷体_GB2312" w:eastAsia="楷体_GB2312"/>
          <w:b/>
          <w:bCs/>
          <w:color w:val="000000"/>
        </w:rPr>
        <w:t>（三）复核管理：</w:t>
      </w:r>
      <w:r>
        <w:rPr>
          <w:rFonts w:hAnsi="仿宋_GB2312"/>
          <w:color w:val="000000"/>
        </w:rPr>
        <w:t>每</w:t>
      </w:r>
      <w:r>
        <w:rPr>
          <w:color w:val="000000"/>
        </w:rPr>
        <w:t>2</w:t>
      </w:r>
      <w:r>
        <w:rPr>
          <w:rFonts w:hAnsi="仿宋_GB2312"/>
          <w:color w:val="000000"/>
        </w:rPr>
        <w:t>年对示范区进行一次复核，具体内容包括</w:t>
      </w:r>
      <w:r>
        <w:rPr>
          <w:color w:val="000000"/>
        </w:rPr>
        <w:t>5</w:t>
      </w:r>
      <w:r>
        <w:rPr>
          <w:rFonts w:hAnsi="仿宋_GB2312"/>
          <w:color w:val="000000"/>
        </w:rPr>
        <w:t>个方面。一是政府责任落实情况；二是公共文化设施建设和运行管理情况；三是公共文化服务效能及群众满意度情况；四是改革创新和发挥示范作用情况；五是上级文化和旅游、财政部门支持、监督、宣传示范区创新发展情况。</w:t>
      </w:r>
    </w:p>
    <w:p>
      <w:pPr>
        <w:autoSpaceDN w:val="0"/>
        <w:spacing w:line="576" w:lineRule="exact"/>
        <w:ind w:firstLine="640" w:firstLineChars="200"/>
        <w:rPr>
          <w:rFonts w:eastAsia="黑体"/>
          <w:color w:val="000000"/>
          <w:kern w:val="0"/>
        </w:rPr>
      </w:pPr>
      <w:r>
        <w:rPr>
          <w:rFonts w:eastAsia="黑体"/>
          <w:color w:val="000000"/>
          <w:kern w:val="0"/>
        </w:rPr>
        <w:t>八、工作机制</w:t>
      </w:r>
    </w:p>
    <w:p>
      <w:pPr>
        <w:autoSpaceDN w:val="0"/>
        <w:spacing w:line="576" w:lineRule="exact"/>
        <w:ind w:firstLine="643" w:firstLineChars="200"/>
        <w:rPr>
          <w:rFonts w:eastAsia="楷体_GB2312"/>
          <w:b/>
          <w:color w:val="000000"/>
        </w:rPr>
      </w:pPr>
      <w:r>
        <w:rPr>
          <w:rFonts w:hAnsi="楷体_GB2312" w:eastAsia="楷体_GB2312"/>
          <w:b/>
          <w:color w:val="000000"/>
        </w:rPr>
        <w:t>（一）示范区创建工作领导小组及职责</w:t>
      </w:r>
    </w:p>
    <w:p>
      <w:pPr>
        <w:autoSpaceDN w:val="0"/>
        <w:spacing w:line="576" w:lineRule="exact"/>
        <w:ind w:firstLine="640" w:firstLineChars="200"/>
        <w:rPr>
          <w:color w:val="000000"/>
        </w:rPr>
      </w:pPr>
      <w:r>
        <w:rPr>
          <w:rFonts w:hAnsi="仿宋_GB2312"/>
          <w:color w:val="000000"/>
        </w:rPr>
        <w:t>湖北省公共文化服务体系示范区创建工作领导小组由省文化和旅游厅、省财政厅领导任组长，两厅相关处室负责同志担任成员，负责统筹指导示范区创建和后续建设工作。主要职责是：</w:t>
      </w:r>
    </w:p>
    <w:p>
      <w:pPr>
        <w:autoSpaceDN w:val="0"/>
        <w:spacing w:line="576" w:lineRule="exact"/>
        <w:ind w:firstLine="640" w:firstLineChars="200"/>
        <w:rPr>
          <w:color w:val="000000"/>
        </w:rPr>
      </w:pPr>
      <w:r>
        <w:rPr>
          <w:color w:val="000000"/>
        </w:rPr>
        <w:t>1.</w:t>
      </w:r>
      <w:r>
        <w:rPr>
          <w:rFonts w:hAnsi="仿宋_GB2312"/>
          <w:color w:val="000000"/>
        </w:rPr>
        <w:t>制定示范区创建工作方案和创建标准；</w:t>
      </w:r>
    </w:p>
    <w:p>
      <w:pPr>
        <w:autoSpaceDN w:val="0"/>
        <w:spacing w:line="576" w:lineRule="exact"/>
        <w:ind w:firstLine="640" w:firstLineChars="200"/>
        <w:rPr>
          <w:color w:val="000000"/>
        </w:rPr>
      </w:pPr>
      <w:r>
        <w:rPr>
          <w:color w:val="000000"/>
        </w:rPr>
        <w:t>2.</w:t>
      </w:r>
      <w:r>
        <w:rPr>
          <w:rFonts w:hAnsi="仿宋_GB2312"/>
          <w:color w:val="000000"/>
        </w:rPr>
        <w:t>确定、上报示范区创建资格名单；</w:t>
      </w:r>
    </w:p>
    <w:p>
      <w:pPr>
        <w:autoSpaceDN w:val="0"/>
        <w:spacing w:line="576" w:lineRule="exact"/>
        <w:ind w:firstLine="640" w:firstLineChars="200"/>
        <w:rPr>
          <w:color w:val="000000"/>
        </w:rPr>
      </w:pPr>
      <w:r>
        <w:rPr>
          <w:color w:val="000000"/>
        </w:rPr>
        <w:t>3.</w:t>
      </w:r>
      <w:r>
        <w:rPr>
          <w:rFonts w:hAnsi="仿宋_GB2312"/>
          <w:color w:val="000000"/>
        </w:rPr>
        <w:t>指导示范区创建工作，协调解决创建和后续建设中的重大问题；</w:t>
      </w:r>
    </w:p>
    <w:p>
      <w:pPr>
        <w:autoSpaceDN w:val="0"/>
        <w:spacing w:line="576" w:lineRule="exact"/>
        <w:ind w:firstLine="640" w:firstLineChars="200"/>
        <w:rPr>
          <w:color w:val="000000"/>
        </w:rPr>
      </w:pPr>
      <w:r>
        <w:rPr>
          <w:color w:val="000000"/>
        </w:rPr>
        <w:t>4.</w:t>
      </w:r>
      <w:r>
        <w:rPr>
          <w:rFonts w:hAnsi="仿宋_GB2312"/>
          <w:color w:val="000000"/>
        </w:rPr>
        <w:t>对示范区创建情况进行检查、监督，决定有关奖惩。</w:t>
      </w:r>
    </w:p>
    <w:p>
      <w:pPr>
        <w:autoSpaceDN w:val="0"/>
        <w:spacing w:line="576" w:lineRule="exact"/>
        <w:ind w:firstLine="643" w:firstLineChars="200"/>
        <w:rPr>
          <w:rFonts w:eastAsia="楷体_GB2312"/>
          <w:b/>
          <w:bCs/>
          <w:color w:val="000000"/>
        </w:rPr>
      </w:pPr>
      <w:r>
        <w:rPr>
          <w:rFonts w:hAnsi="楷体_GB2312" w:eastAsia="楷体_GB2312"/>
          <w:b/>
          <w:bCs/>
          <w:color w:val="000000"/>
        </w:rPr>
        <w:t>（二）示范区创建工作领导小组办公室</w:t>
      </w:r>
    </w:p>
    <w:p>
      <w:pPr>
        <w:autoSpaceDN w:val="0"/>
        <w:spacing w:line="576" w:lineRule="exact"/>
        <w:ind w:firstLine="640" w:firstLineChars="200"/>
        <w:rPr>
          <w:color w:val="000000"/>
        </w:rPr>
      </w:pPr>
      <w:r>
        <w:rPr>
          <w:rFonts w:hAnsi="仿宋_GB2312"/>
          <w:color w:val="000000"/>
        </w:rPr>
        <w:t>办公室设在省文化和旅游厅公共服务处，负责示范区的日常管理工作。主要职责是：</w:t>
      </w:r>
    </w:p>
    <w:p>
      <w:pPr>
        <w:autoSpaceDN w:val="0"/>
        <w:spacing w:line="576" w:lineRule="exact"/>
        <w:ind w:firstLine="640" w:firstLineChars="200"/>
        <w:rPr>
          <w:color w:val="000000"/>
        </w:rPr>
      </w:pPr>
      <w:r>
        <w:rPr>
          <w:color w:val="000000"/>
        </w:rPr>
        <w:t>1.</w:t>
      </w:r>
      <w:r>
        <w:rPr>
          <w:rFonts w:hAnsi="仿宋_GB2312"/>
          <w:color w:val="000000"/>
        </w:rPr>
        <w:t>汇总各地申报材料，组织专家对各创建示范区的申报材料进行评审，向示范区创建工作领导小组提出创建示范区建议名单；</w:t>
      </w:r>
    </w:p>
    <w:p>
      <w:pPr>
        <w:autoSpaceDN w:val="0"/>
        <w:spacing w:line="576" w:lineRule="exact"/>
        <w:ind w:firstLine="640" w:firstLineChars="200"/>
        <w:rPr>
          <w:color w:val="000000"/>
        </w:rPr>
      </w:pPr>
      <w:r>
        <w:rPr>
          <w:color w:val="000000"/>
        </w:rPr>
        <w:t>2.</w:t>
      </w:r>
      <w:r>
        <w:rPr>
          <w:rFonts w:hAnsi="仿宋_GB2312"/>
          <w:color w:val="000000"/>
        </w:rPr>
        <w:t>受领导小组委托，指导和督促各地示范区建设工作，组织创建示范区中期督查、验收以及示范区后续建设督查、复查工作；</w:t>
      </w:r>
    </w:p>
    <w:p>
      <w:pPr>
        <w:autoSpaceDN w:val="0"/>
        <w:spacing w:line="576" w:lineRule="exact"/>
        <w:ind w:firstLine="640" w:firstLineChars="200"/>
        <w:rPr>
          <w:color w:val="000000"/>
        </w:rPr>
      </w:pPr>
      <w:r>
        <w:rPr>
          <w:color w:val="000000"/>
        </w:rPr>
        <w:t>3.</w:t>
      </w:r>
      <w:r>
        <w:rPr>
          <w:rFonts w:hAnsi="仿宋_GB2312"/>
          <w:color w:val="000000"/>
        </w:rPr>
        <w:t>组织开展示范区创建相关培训工作；</w:t>
      </w:r>
    </w:p>
    <w:p>
      <w:pPr>
        <w:autoSpaceDN w:val="0"/>
        <w:spacing w:line="576" w:lineRule="exact"/>
        <w:ind w:firstLine="640" w:firstLineChars="200"/>
        <w:rPr>
          <w:color w:val="000000"/>
        </w:rPr>
      </w:pPr>
      <w:r>
        <w:rPr>
          <w:color w:val="000000"/>
        </w:rPr>
        <w:t>4.</w:t>
      </w:r>
      <w:r>
        <w:rPr>
          <w:rFonts w:hAnsi="仿宋_GB2312"/>
          <w:color w:val="000000"/>
        </w:rPr>
        <w:t>推动各地区之间、各示范区及示范区创建地之间的交流与合作；</w:t>
      </w:r>
    </w:p>
    <w:p>
      <w:pPr>
        <w:autoSpaceDN w:val="0"/>
        <w:spacing w:line="576" w:lineRule="exact"/>
        <w:ind w:firstLine="640" w:firstLineChars="200"/>
        <w:rPr>
          <w:color w:val="000000"/>
        </w:rPr>
      </w:pPr>
      <w:r>
        <w:rPr>
          <w:color w:val="000000"/>
        </w:rPr>
        <w:t>5.</w:t>
      </w:r>
      <w:r>
        <w:rPr>
          <w:rFonts w:hAnsi="仿宋_GB2312"/>
          <w:color w:val="000000"/>
        </w:rPr>
        <w:t>研究总结、宣传推广示范区创建工作经验。</w:t>
      </w:r>
    </w:p>
    <w:p>
      <w:pPr>
        <w:autoSpaceDN w:val="0"/>
        <w:spacing w:line="576" w:lineRule="exact"/>
        <w:ind w:firstLine="643" w:firstLineChars="200"/>
        <w:rPr>
          <w:rFonts w:eastAsia="楷体_GB2312"/>
          <w:b/>
          <w:bCs/>
          <w:color w:val="000000"/>
        </w:rPr>
      </w:pPr>
      <w:r>
        <w:rPr>
          <w:rFonts w:hAnsi="楷体_GB2312" w:eastAsia="楷体_GB2312"/>
          <w:b/>
          <w:bCs/>
          <w:color w:val="000000"/>
        </w:rPr>
        <w:t>（三）湖北省文旅公共服务专家委员会</w:t>
      </w:r>
    </w:p>
    <w:p>
      <w:pPr>
        <w:autoSpaceDN w:val="0"/>
        <w:spacing w:line="576" w:lineRule="exact"/>
        <w:ind w:firstLine="640" w:firstLineChars="200"/>
        <w:rPr>
          <w:color w:val="000000"/>
        </w:rPr>
      </w:pPr>
      <w:r>
        <w:rPr>
          <w:color w:val="000000"/>
        </w:rPr>
        <w:t>1.</w:t>
      </w:r>
      <w:r>
        <w:rPr>
          <w:rFonts w:hAnsi="仿宋_GB2312"/>
          <w:color w:val="000000"/>
        </w:rPr>
        <w:t>负责审订创建示范区评审、验收标准和课题研究体系；</w:t>
      </w:r>
    </w:p>
    <w:p>
      <w:pPr>
        <w:autoSpaceDN w:val="0"/>
        <w:spacing w:line="576" w:lineRule="exact"/>
        <w:ind w:firstLine="640" w:firstLineChars="200"/>
        <w:rPr>
          <w:color w:val="000000"/>
        </w:rPr>
      </w:pPr>
      <w:r>
        <w:rPr>
          <w:color w:val="000000"/>
        </w:rPr>
        <w:t>2.</w:t>
      </w:r>
      <w:r>
        <w:rPr>
          <w:rFonts w:hAnsi="仿宋_GB2312"/>
          <w:color w:val="000000"/>
        </w:rPr>
        <w:t>受领导小组的委托，参与评审各地申报的创建示范区，提出意见；</w:t>
      </w:r>
    </w:p>
    <w:p>
      <w:pPr>
        <w:autoSpaceDN w:val="0"/>
        <w:spacing w:line="576" w:lineRule="exact"/>
        <w:ind w:firstLine="640" w:firstLineChars="200"/>
        <w:rPr>
          <w:color w:val="000000"/>
        </w:rPr>
      </w:pPr>
      <w:r>
        <w:rPr>
          <w:color w:val="000000"/>
        </w:rPr>
        <w:t>3.</w:t>
      </w:r>
      <w:r>
        <w:rPr>
          <w:rFonts w:hAnsi="仿宋_GB2312"/>
          <w:color w:val="000000"/>
        </w:rPr>
        <w:t>对各地示范区创建工作提供咨询和指导；</w:t>
      </w:r>
    </w:p>
    <w:p>
      <w:pPr>
        <w:autoSpaceDN w:val="0"/>
        <w:spacing w:line="576" w:lineRule="exact"/>
        <w:ind w:firstLine="640" w:firstLineChars="200"/>
        <w:rPr>
          <w:color w:val="000000"/>
        </w:rPr>
      </w:pPr>
      <w:r>
        <w:rPr>
          <w:color w:val="000000"/>
        </w:rPr>
        <w:t>4.</w:t>
      </w:r>
      <w:r>
        <w:rPr>
          <w:rFonts w:hAnsi="仿宋_GB2312"/>
          <w:color w:val="000000"/>
        </w:rPr>
        <w:t>协助推进示范区创建工作，参与创建示范区督查和验收，以及示范区后续建设督查和复查工作。</w:t>
      </w:r>
    </w:p>
    <w:p>
      <w:pPr>
        <w:autoSpaceDN w:val="0"/>
        <w:spacing w:line="576" w:lineRule="exact"/>
        <w:ind w:firstLine="643" w:firstLineChars="200"/>
        <w:rPr>
          <w:rFonts w:eastAsia="楷体_GB2312"/>
          <w:b/>
          <w:bCs/>
          <w:color w:val="000000"/>
        </w:rPr>
      </w:pPr>
      <w:r>
        <w:rPr>
          <w:rFonts w:hAnsi="楷体_GB2312" w:eastAsia="楷体_GB2312"/>
          <w:b/>
          <w:bCs/>
          <w:color w:val="000000"/>
        </w:rPr>
        <w:t>（四）市州文化和旅游局、财政局</w:t>
      </w:r>
    </w:p>
    <w:p>
      <w:pPr>
        <w:autoSpaceDN w:val="0"/>
        <w:spacing w:line="576" w:lineRule="exact"/>
        <w:ind w:firstLine="640" w:firstLineChars="200"/>
        <w:rPr>
          <w:color w:val="000000"/>
        </w:rPr>
      </w:pPr>
      <w:r>
        <w:rPr>
          <w:color w:val="000000"/>
        </w:rPr>
        <w:t>1.</w:t>
      </w:r>
      <w:r>
        <w:rPr>
          <w:rFonts w:hAnsi="仿宋_GB2312"/>
          <w:color w:val="000000"/>
        </w:rPr>
        <w:t>负责组织开展本市州示范区创建工作；</w:t>
      </w:r>
    </w:p>
    <w:p>
      <w:pPr>
        <w:autoSpaceDN w:val="0"/>
        <w:spacing w:line="576" w:lineRule="exact"/>
        <w:ind w:firstLine="640" w:firstLineChars="200"/>
        <w:rPr>
          <w:color w:val="000000"/>
        </w:rPr>
      </w:pPr>
      <w:r>
        <w:rPr>
          <w:color w:val="000000"/>
        </w:rPr>
        <w:t>2.</w:t>
      </w:r>
      <w:r>
        <w:rPr>
          <w:rFonts w:hAnsi="仿宋_GB2312"/>
          <w:color w:val="000000"/>
        </w:rPr>
        <w:t>负责组织本市州创建示范区的初审，主要包括资格审定、实地考察、制度设计方案审核、推荐等工作；指导本市州省级示范区制定后续建设方案和规划；</w:t>
      </w:r>
    </w:p>
    <w:p>
      <w:pPr>
        <w:autoSpaceDN w:val="0"/>
        <w:spacing w:line="576" w:lineRule="exact"/>
        <w:ind w:firstLine="640" w:firstLineChars="200"/>
        <w:rPr>
          <w:color w:val="000000"/>
        </w:rPr>
      </w:pPr>
      <w:r>
        <w:rPr>
          <w:color w:val="000000"/>
        </w:rPr>
        <w:t>3.</w:t>
      </w:r>
      <w:r>
        <w:rPr>
          <w:rFonts w:hAnsi="仿宋_GB2312"/>
          <w:color w:val="000000"/>
        </w:rPr>
        <w:t>拟定推荐名单并经市州人民政府同意，向省文化和旅游厅、省财政厅统一申报；</w:t>
      </w:r>
    </w:p>
    <w:p>
      <w:pPr>
        <w:autoSpaceDN w:val="0"/>
        <w:spacing w:line="576" w:lineRule="exact"/>
        <w:ind w:firstLine="640" w:firstLineChars="200"/>
        <w:rPr>
          <w:color w:val="000000"/>
        </w:rPr>
      </w:pPr>
      <w:r>
        <w:rPr>
          <w:color w:val="000000"/>
        </w:rPr>
        <w:t>4.</w:t>
      </w:r>
      <w:r>
        <w:rPr>
          <w:rFonts w:hAnsi="仿宋_GB2312"/>
          <w:color w:val="000000"/>
        </w:rPr>
        <w:t>对本市州示范区创建工作进行指导、监管；</w:t>
      </w:r>
    </w:p>
    <w:p>
      <w:pPr>
        <w:autoSpaceDN w:val="0"/>
        <w:spacing w:line="576" w:lineRule="exact"/>
        <w:ind w:firstLine="640" w:firstLineChars="200"/>
        <w:rPr>
          <w:color w:val="000000"/>
        </w:rPr>
      </w:pPr>
      <w:r>
        <w:rPr>
          <w:color w:val="000000"/>
        </w:rPr>
        <w:t>5</w:t>
      </w:r>
      <w:r>
        <w:rPr>
          <w:rFonts w:hint="eastAsia" w:hAnsi="仿宋_GB2312"/>
          <w:color w:val="000000"/>
        </w:rPr>
        <w:t>.</w:t>
      </w:r>
      <w:r>
        <w:rPr>
          <w:rFonts w:hAnsi="仿宋_GB2312"/>
          <w:color w:val="000000"/>
        </w:rPr>
        <w:t>组织本市州示范区和示范区创建地之间的工作交流，总结推广本地示范区创建的典型做法和经验。</w:t>
      </w:r>
    </w:p>
    <w:p>
      <w:pPr>
        <w:autoSpaceDN w:val="0"/>
        <w:spacing w:line="576" w:lineRule="exact"/>
        <w:ind w:firstLine="640" w:firstLineChars="200"/>
        <w:rPr>
          <w:rFonts w:eastAsia="黑体"/>
          <w:color w:val="000000"/>
        </w:rPr>
      </w:pPr>
      <w:r>
        <w:rPr>
          <w:rFonts w:hAnsi="黑体" w:eastAsia="黑体"/>
          <w:color w:val="000000"/>
        </w:rPr>
        <w:t>九、奖惩机制</w:t>
      </w:r>
    </w:p>
    <w:p>
      <w:pPr>
        <w:autoSpaceDN w:val="0"/>
        <w:spacing w:line="576" w:lineRule="exact"/>
        <w:ind w:firstLine="643" w:firstLineChars="200"/>
        <w:rPr>
          <w:color w:val="000000"/>
        </w:rPr>
      </w:pPr>
      <w:r>
        <w:rPr>
          <w:rFonts w:hAnsi="楷体_GB2312" w:eastAsia="楷体_GB2312"/>
          <w:b/>
          <w:bCs/>
          <w:color w:val="000000"/>
        </w:rPr>
        <w:t>（一）命名与授牌。</w:t>
      </w:r>
      <w:r>
        <w:rPr>
          <w:rFonts w:hAnsi="仿宋_GB2312"/>
          <w:color w:val="000000"/>
        </w:rPr>
        <w:t>通过验收的创建单位，命名为</w:t>
      </w:r>
      <w:r>
        <w:rPr>
          <w:color w:val="000000"/>
        </w:rPr>
        <w:t>“</w:t>
      </w:r>
      <w:r>
        <w:rPr>
          <w:rFonts w:hAnsi="仿宋_GB2312"/>
          <w:color w:val="000000"/>
        </w:rPr>
        <w:t>湖北省公共文化服务体系示范区</w:t>
      </w:r>
      <w:r>
        <w:rPr>
          <w:color w:val="000000"/>
        </w:rPr>
        <w:t>”</w:t>
      </w:r>
      <w:r>
        <w:rPr>
          <w:rFonts w:hAnsi="仿宋_GB2312"/>
          <w:color w:val="000000"/>
        </w:rPr>
        <w:t>并授牌。</w:t>
      </w:r>
    </w:p>
    <w:p>
      <w:pPr>
        <w:autoSpaceDN w:val="0"/>
        <w:spacing w:line="576" w:lineRule="exact"/>
        <w:ind w:firstLine="643" w:firstLineChars="200"/>
        <w:rPr>
          <w:color w:val="000000"/>
        </w:rPr>
      </w:pPr>
      <w:r>
        <w:rPr>
          <w:rFonts w:hAnsi="楷体_GB2312" w:eastAsia="楷体_GB2312"/>
          <w:b/>
          <w:bCs/>
          <w:color w:val="000000"/>
        </w:rPr>
        <w:t>（二）补助和奖励。</w:t>
      </w:r>
      <w:r>
        <w:rPr>
          <w:rFonts w:hAnsi="仿宋_GB2312"/>
          <w:color w:val="000000"/>
        </w:rPr>
        <w:t>根据情况，对成功申报创建示范区的县（市、区）和验收达标的示范区、复核合格的示范区进行补助和奖励。</w:t>
      </w:r>
    </w:p>
    <w:p>
      <w:pPr>
        <w:autoSpaceDN w:val="0"/>
        <w:spacing w:line="576" w:lineRule="exact"/>
        <w:ind w:firstLine="643" w:firstLineChars="200"/>
        <w:rPr>
          <w:color w:val="000000"/>
        </w:rPr>
      </w:pPr>
      <w:r>
        <w:rPr>
          <w:rFonts w:hAnsi="楷体_GB2312" w:eastAsia="楷体_GB2312"/>
          <w:b/>
          <w:bCs/>
          <w:color w:val="000000"/>
        </w:rPr>
        <w:t>（三）实行动态管理。</w:t>
      </w:r>
      <w:r>
        <w:rPr>
          <w:rFonts w:hAnsi="仿宋_GB2312"/>
          <w:color w:val="000000"/>
        </w:rPr>
        <w:t>中期督查和复核中表现优秀的示范区予以通报表扬。有下列</w:t>
      </w:r>
      <w:r>
        <w:rPr>
          <w:color w:val="000000"/>
        </w:rPr>
        <w:t>4</w:t>
      </w:r>
      <w:r>
        <w:rPr>
          <w:rFonts w:hAnsi="仿宋_GB2312"/>
          <w:color w:val="000000"/>
        </w:rPr>
        <w:t>种情形之一的，将予以摘牌：一是未达到复核标准的。二是连续两次被通报批评的。三是发生重大责任事故造成恶劣影响的。四是弄虚作假，情节严重的。</w:t>
      </w:r>
    </w:p>
    <w:p>
      <w:pPr>
        <w:spacing w:line="576" w:lineRule="exact"/>
        <w:ind w:firstLine="640" w:firstLineChars="200"/>
        <w:rPr>
          <w:rFonts w:eastAsia="黑体"/>
          <w:color w:val="000000"/>
        </w:rPr>
      </w:pPr>
      <w:r>
        <w:rPr>
          <w:rFonts w:eastAsia="黑体"/>
          <w:color w:val="000000"/>
        </w:rPr>
        <w:t>十、工作要求</w:t>
      </w:r>
    </w:p>
    <w:p>
      <w:pPr>
        <w:autoSpaceDN w:val="0"/>
        <w:spacing w:line="576" w:lineRule="exact"/>
        <w:ind w:firstLine="640" w:firstLineChars="200"/>
        <w:rPr>
          <w:color w:val="000000"/>
        </w:rPr>
      </w:pPr>
      <w:r>
        <w:rPr>
          <w:color w:val="000000"/>
        </w:rPr>
        <w:t>2021</w:t>
      </w:r>
      <w:r>
        <w:rPr>
          <w:rFonts w:hAnsi="仿宋_GB2312"/>
          <w:color w:val="000000"/>
        </w:rPr>
        <w:t>年，省文化和旅游厅、省财政厅将组织对第四批省级公共文化服务体系示范区创建评审，</w:t>
      </w:r>
      <w:r>
        <w:rPr>
          <w:color w:val="000000"/>
        </w:rPr>
        <w:t>2023</w:t>
      </w:r>
      <w:r>
        <w:rPr>
          <w:rFonts w:hAnsi="仿宋_GB2312"/>
          <w:color w:val="000000"/>
        </w:rPr>
        <w:t>年对第四批省级公共文化服务体系示范区创建进行验收。同时，在</w:t>
      </w:r>
      <w:r>
        <w:rPr>
          <w:color w:val="000000"/>
        </w:rPr>
        <w:t>2021</w:t>
      </w:r>
      <w:r>
        <w:rPr>
          <w:rFonts w:hAnsi="仿宋_GB2312"/>
          <w:color w:val="000000"/>
        </w:rPr>
        <w:t>年对第一、二批，</w:t>
      </w:r>
      <w:r>
        <w:rPr>
          <w:color w:val="000000"/>
        </w:rPr>
        <w:t>2023</w:t>
      </w:r>
      <w:r>
        <w:rPr>
          <w:rFonts w:hAnsi="仿宋_GB2312"/>
          <w:color w:val="000000"/>
        </w:rPr>
        <w:t>年对第三批省级公共文化服务体系示范区进行复核。具体要求如下：</w:t>
      </w:r>
    </w:p>
    <w:p>
      <w:pPr>
        <w:autoSpaceDN w:val="0"/>
        <w:spacing w:line="576" w:lineRule="exact"/>
        <w:ind w:firstLine="640" w:firstLineChars="200"/>
        <w:rPr>
          <w:color w:val="000000"/>
        </w:rPr>
      </w:pPr>
      <w:r>
        <w:rPr>
          <w:rFonts w:hAnsi="仿宋_GB2312"/>
          <w:color w:val="000000"/>
        </w:rPr>
        <w:t>（一）建立党政主要领导牵头、相关部门参加、机制完善、运行高效的示范区建设长效工作机制，把示范区建设纳入政府日常工作。</w:t>
      </w:r>
    </w:p>
    <w:p>
      <w:pPr>
        <w:autoSpaceDN w:val="0"/>
        <w:spacing w:line="576" w:lineRule="exact"/>
        <w:ind w:firstLine="640" w:firstLineChars="200"/>
        <w:rPr>
          <w:color w:val="000000"/>
        </w:rPr>
      </w:pPr>
      <w:r>
        <w:rPr>
          <w:rFonts w:hAnsi="仿宋_GB2312"/>
          <w:color w:val="000000"/>
        </w:rPr>
        <w:t>（二）按照《湖北省公共文化服务体系示范区创建过程管理规定》要求，做好过程管理工作。</w:t>
      </w:r>
    </w:p>
    <w:p>
      <w:pPr>
        <w:autoSpaceDN w:val="0"/>
        <w:spacing w:line="576" w:lineRule="exact"/>
        <w:ind w:firstLine="640" w:firstLineChars="200"/>
        <w:rPr>
          <w:color w:val="000000"/>
        </w:rPr>
      </w:pPr>
      <w:r>
        <w:rPr>
          <w:rFonts w:hAnsi="仿宋_GB2312"/>
          <w:color w:val="000000"/>
        </w:rPr>
        <w:t>（三）结合现代公共文化服务体系建设相关工作，持续开展制度设计研究，推进体制机制创新，形成具有普遍示范价值的经验。同时，加强与其他示范区和示范区创建地之间的交流，相互学习借鉴。</w:t>
      </w:r>
    </w:p>
    <w:p>
      <w:pPr>
        <w:autoSpaceDN w:val="0"/>
        <w:spacing w:line="576" w:lineRule="exact"/>
        <w:rPr>
          <w:rFonts w:eastAsia="黑体"/>
          <w:color w:val="000000"/>
        </w:rPr>
      </w:pPr>
    </w:p>
    <w:p>
      <w:pPr>
        <w:adjustRightInd w:val="0"/>
        <w:snapToGrid w:val="0"/>
        <w:spacing w:line="576" w:lineRule="exact"/>
        <w:rPr>
          <w:rFonts w:eastAsia="黑体"/>
          <w:color w:val="000000"/>
          <w:sz w:val="36"/>
          <w:szCs w:val="36"/>
        </w:rPr>
      </w:pPr>
    </w:p>
    <w:p>
      <w:pPr>
        <w:adjustRightInd w:val="0"/>
        <w:snapToGrid w:val="0"/>
        <w:spacing w:line="576" w:lineRule="exact"/>
        <w:jc w:val="center"/>
        <w:rPr>
          <w:rFonts w:eastAsia="方正小标宋简体"/>
          <w:color w:val="000000"/>
          <w:sz w:val="36"/>
          <w:szCs w:val="36"/>
        </w:rPr>
      </w:pPr>
    </w:p>
    <w:p>
      <w:pPr>
        <w:spacing w:line="576" w:lineRule="exact"/>
        <w:rPr>
          <w:rFonts w:eastAsia="黑体"/>
          <w:color w:val="000000"/>
          <w:sz w:val="28"/>
          <w:szCs w:val="28"/>
        </w:rPr>
      </w:pPr>
    </w:p>
    <w:p>
      <w:pPr>
        <w:spacing w:line="576" w:lineRule="exact"/>
        <w:rPr>
          <w:rFonts w:eastAsia="黑体"/>
          <w:color w:val="000000"/>
          <w:sz w:val="28"/>
          <w:szCs w:val="28"/>
        </w:rPr>
      </w:pPr>
    </w:p>
    <w:p>
      <w:pPr>
        <w:spacing w:line="576" w:lineRule="exact"/>
        <w:rPr>
          <w:rFonts w:eastAsia="黑体"/>
          <w:color w:val="000000"/>
          <w:sz w:val="28"/>
          <w:szCs w:val="28"/>
        </w:rPr>
      </w:pPr>
    </w:p>
    <w:p>
      <w:pPr>
        <w:spacing w:line="576" w:lineRule="exact"/>
        <w:rPr>
          <w:rFonts w:eastAsia="黑体"/>
          <w:color w:val="000000"/>
          <w:sz w:val="28"/>
          <w:szCs w:val="28"/>
        </w:rPr>
      </w:pPr>
    </w:p>
    <w:p>
      <w:pPr>
        <w:spacing w:line="560" w:lineRule="exact"/>
        <w:rPr>
          <w:rFonts w:eastAsia="黑体"/>
          <w:color w:val="000000"/>
          <w:sz w:val="28"/>
          <w:szCs w:val="28"/>
        </w:rPr>
      </w:pPr>
    </w:p>
    <w:p>
      <w:pPr>
        <w:spacing w:line="560" w:lineRule="exact"/>
        <w:rPr>
          <w:rFonts w:eastAsia="黑体"/>
          <w:color w:val="000000"/>
          <w:sz w:val="28"/>
          <w:szCs w:val="28"/>
        </w:rPr>
      </w:pPr>
    </w:p>
    <w:p>
      <w:pPr>
        <w:spacing w:line="560" w:lineRule="exact"/>
        <w:rPr>
          <w:rFonts w:eastAsia="黑体"/>
          <w:color w:val="000000"/>
          <w:sz w:val="28"/>
          <w:szCs w:val="28"/>
        </w:rPr>
      </w:pPr>
    </w:p>
    <w:p>
      <w:pPr>
        <w:spacing w:line="560" w:lineRule="exact"/>
        <w:rPr>
          <w:rFonts w:eastAsia="黑体"/>
          <w:color w:val="000000"/>
          <w:sz w:val="28"/>
          <w:szCs w:val="28"/>
        </w:rPr>
      </w:pPr>
    </w:p>
    <w:p>
      <w:pPr>
        <w:spacing w:line="560" w:lineRule="exact"/>
        <w:rPr>
          <w:rFonts w:eastAsia="黑体"/>
          <w:color w:val="000000"/>
          <w:sz w:val="28"/>
          <w:szCs w:val="28"/>
        </w:rPr>
      </w:pPr>
    </w:p>
    <w:p>
      <w:pPr>
        <w:spacing w:line="560" w:lineRule="exact"/>
        <w:rPr>
          <w:rFonts w:eastAsia="黑体"/>
          <w:color w:val="000000"/>
          <w:sz w:val="28"/>
          <w:szCs w:val="28"/>
        </w:rPr>
      </w:pPr>
    </w:p>
    <w:p>
      <w:pPr>
        <w:spacing w:line="560" w:lineRule="exact"/>
        <w:rPr>
          <w:rFonts w:eastAsia="黑体"/>
          <w:color w:val="000000"/>
          <w:sz w:val="28"/>
          <w:szCs w:val="28"/>
        </w:rPr>
      </w:pPr>
    </w:p>
    <w:p>
      <w:pPr>
        <w:spacing w:line="560" w:lineRule="exact"/>
        <w:rPr>
          <w:rFonts w:eastAsia="黑体"/>
          <w:color w:val="000000"/>
          <w:sz w:val="28"/>
          <w:szCs w:val="28"/>
        </w:rPr>
      </w:pPr>
    </w:p>
    <w:p>
      <w:pPr>
        <w:spacing w:line="560" w:lineRule="exact"/>
        <w:rPr>
          <w:rFonts w:eastAsia="黑体"/>
          <w:color w:val="000000"/>
          <w:sz w:val="28"/>
          <w:szCs w:val="28"/>
        </w:rPr>
      </w:pPr>
    </w:p>
    <w:p>
      <w:pPr>
        <w:spacing w:line="560" w:lineRule="exact"/>
        <w:rPr>
          <w:rFonts w:eastAsia="黑体"/>
          <w:color w:val="000000"/>
          <w:szCs w:val="32"/>
        </w:rPr>
      </w:pPr>
      <w:r>
        <w:rPr>
          <w:rFonts w:hAnsi="黑体" w:eastAsia="黑体"/>
          <w:color w:val="000000"/>
          <w:szCs w:val="32"/>
        </w:rPr>
        <w:t>附件</w:t>
      </w:r>
      <w:r>
        <w:rPr>
          <w:rFonts w:eastAsia="黑体"/>
          <w:color w:val="000000"/>
          <w:szCs w:val="32"/>
        </w:rPr>
        <w:t>2</w:t>
      </w:r>
    </w:p>
    <w:p>
      <w:pPr>
        <w:spacing w:line="400" w:lineRule="exact"/>
        <w:rPr>
          <w:rFonts w:eastAsia="黑体"/>
          <w:color w:val="000000"/>
          <w:sz w:val="28"/>
          <w:szCs w:val="28"/>
        </w:rPr>
      </w:pPr>
    </w:p>
    <w:p>
      <w:pPr>
        <w:spacing w:line="560" w:lineRule="exact"/>
        <w:jc w:val="center"/>
        <w:rPr>
          <w:rFonts w:eastAsia="方正小标宋简体"/>
          <w:color w:val="000000"/>
          <w:sz w:val="44"/>
          <w:szCs w:val="44"/>
        </w:rPr>
      </w:pPr>
      <w:r>
        <w:rPr>
          <w:rFonts w:hAnsi="方正小标宋简体" w:eastAsia="方正小标宋简体"/>
          <w:color w:val="000000"/>
          <w:sz w:val="44"/>
          <w:szCs w:val="44"/>
        </w:rPr>
        <w:t>湖北省公共文化服务体系示范区创建指标</w:t>
      </w:r>
    </w:p>
    <w:p>
      <w:pPr>
        <w:spacing w:before="217" w:beforeLines="50" w:line="560" w:lineRule="exact"/>
        <w:jc w:val="center"/>
        <w:rPr>
          <w:rFonts w:hint="eastAsia" w:hAnsi="楷体_GB2312" w:eastAsia="楷体_GB2312"/>
          <w:color w:val="000000"/>
          <w:sz w:val="28"/>
          <w:szCs w:val="28"/>
        </w:rPr>
      </w:pPr>
      <w:r>
        <w:rPr>
          <w:rFonts w:hAnsi="楷体_GB2312" w:eastAsia="楷体_GB2312"/>
          <w:color w:val="000000"/>
          <w:sz w:val="28"/>
          <w:szCs w:val="28"/>
        </w:rPr>
        <w:t>（第四批）</w:t>
      </w:r>
    </w:p>
    <w:p>
      <w:pPr>
        <w:spacing w:line="576" w:lineRule="exact"/>
        <w:jc w:val="center"/>
        <w:rPr>
          <w:rFonts w:eastAsia="楷体_GB2312"/>
          <w:color w:val="000000"/>
          <w:sz w:val="28"/>
          <w:szCs w:val="28"/>
        </w:rPr>
      </w:pPr>
    </w:p>
    <w:p>
      <w:pPr>
        <w:spacing w:line="576" w:lineRule="exact"/>
        <w:ind w:firstLine="640" w:firstLineChars="200"/>
        <w:rPr>
          <w:color w:val="000000"/>
        </w:rPr>
      </w:pPr>
      <w:r>
        <w:rPr>
          <w:rFonts w:hAnsi="仿宋_GB2312"/>
          <w:color w:val="000000"/>
        </w:rPr>
        <w:t>坚持公益性、基本性、均等性、便利性，坚持深化改革，加强城乡统筹，建成符合当地实际情况、覆盖城乡、可持续的公共文化服务体系，形成可持续发展的长效机制，广大群众基本文化权益得到有效保障，对公共文化服务的满意度明显提高。</w:t>
      </w:r>
    </w:p>
    <w:p>
      <w:pPr>
        <w:spacing w:line="576" w:lineRule="exact"/>
        <w:ind w:firstLine="640" w:firstLineChars="200"/>
        <w:rPr>
          <w:rFonts w:eastAsia="黑体"/>
          <w:color w:val="000000"/>
        </w:rPr>
      </w:pPr>
      <w:r>
        <w:rPr>
          <w:rFonts w:hAnsi="黑体" w:eastAsia="黑体"/>
          <w:color w:val="000000"/>
        </w:rPr>
        <w:t>一、公共文化服务体系建设方面</w:t>
      </w:r>
    </w:p>
    <w:p>
      <w:pPr>
        <w:spacing w:line="576" w:lineRule="exact"/>
        <w:ind w:firstLine="643" w:firstLineChars="200"/>
        <w:rPr>
          <w:rFonts w:eastAsia="楷体_GB2312"/>
          <w:b/>
          <w:bCs/>
          <w:color w:val="000000"/>
          <w:szCs w:val="22"/>
        </w:rPr>
      </w:pPr>
      <w:r>
        <w:rPr>
          <w:rFonts w:hAnsi="楷体_GB2312" w:eastAsia="楷体_GB2312"/>
          <w:b/>
          <w:bCs/>
          <w:color w:val="000000"/>
          <w:szCs w:val="22"/>
        </w:rPr>
        <w:t>（一）公共文化服务基础设施建设</w:t>
      </w:r>
    </w:p>
    <w:p>
      <w:pPr>
        <w:spacing w:line="576" w:lineRule="exact"/>
        <w:ind w:firstLine="643" w:firstLineChars="200"/>
        <w:rPr>
          <w:color w:val="000000"/>
        </w:rPr>
      </w:pPr>
      <w:r>
        <w:rPr>
          <w:b/>
          <w:bCs/>
          <w:color w:val="000000"/>
        </w:rPr>
        <w:t>1.</w:t>
      </w:r>
      <w:r>
        <w:rPr>
          <w:rFonts w:hAnsi="仿宋_GB2312"/>
          <w:b/>
          <w:color w:val="000000"/>
        </w:rPr>
        <w:t>科学布局图书馆、文化馆（站）、博物馆等公共文化设施。</w:t>
      </w:r>
      <w:r>
        <w:rPr>
          <w:rFonts w:hAnsi="仿宋_GB2312"/>
          <w:color w:val="000000"/>
        </w:rPr>
        <w:t>按照</w:t>
      </w:r>
      <w:r>
        <w:rPr>
          <w:color w:val="000000"/>
        </w:rPr>
        <w:t>“</w:t>
      </w:r>
      <w:r>
        <w:rPr>
          <w:rFonts w:hAnsi="仿宋_GB2312"/>
          <w:color w:val="000000"/>
        </w:rPr>
        <w:t>城区</w:t>
      </w:r>
      <w:r>
        <w:rPr>
          <w:color w:val="000000"/>
        </w:rPr>
        <w:t>15</w:t>
      </w:r>
      <w:r>
        <w:rPr>
          <w:rFonts w:hAnsi="仿宋_GB2312"/>
          <w:color w:val="000000"/>
        </w:rPr>
        <w:t>分钟公共文化服务圈</w:t>
      </w:r>
      <w:r>
        <w:rPr>
          <w:color w:val="000000"/>
        </w:rPr>
        <w:t>”“</w:t>
      </w:r>
      <w:r>
        <w:rPr>
          <w:rFonts w:hAnsi="仿宋_GB2312"/>
          <w:color w:val="000000"/>
        </w:rPr>
        <w:t>乡镇</w:t>
      </w:r>
      <w:r>
        <w:rPr>
          <w:color w:val="000000"/>
        </w:rPr>
        <w:t>30</w:t>
      </w:r>
      <w:r>
        <w:rPr>
          <w:rFonts w:hAnsi="仿宋_GB2312"/>
          <w:color w:val="000000"/>
        </w:rPr>
        <w:t>分钟公共文化服务圈</w:t>
      </w:r>
      <w:r>
        <w:rPr>
          <w:color w:val="000000"/>
        </w:rPr>
        <w:t>”</w:t>
      </w:r>
      <w:r>
        <w:rPr>
          <w:rFonts w:hAnsi="仿宋_GB2312"/>
          <w:color w:val="000000"/>
        </w:rPr>
        <w:t>的原则，建立上下联通、运行规范、服务优质、覆盖广泛的文化馆、图书馆总分馆体系，实现图书馆、文化馆分馆或服务点在乡镇（街道）基本全覆盖。具备条件的县市建有地方特色博物馆、非遗展示馆等。</w:t>
      </w:r>
    </w:p>
    <w:p>
      <w:pPr>
        <w:spacing w:line="576" w:lineRule="exact"/>
        <w:ind w:firstLine="643" w:firstLineChars="200"/>
        <w:rPr>
          <w:color w:val="000000"/>
        </w:rPr>
      </w:pPr>
      <w:r>
        <w:rPr>
          <w:b/>
          <w:bCs/>
          <w:color w:val="000000"/>
          <w:szCs w:val="22"/>
        </w:rPr>
        <w:t>2.</w:t>
      </w:r>
      <w:r>
        <w:rPr>
          <w:rFonts w:hAnsi="仿宋_GB2312"/>
          <w:b/>
          <w:bCs/>
          <w:color w:val="000000"/>
          <w:szCs w:val="22"/>
        </w:rPr>
        <w:t>图书馆、文化馆建设。</w:t>
      </w:r>
      <w:r>
        <w:rPr>
          <w:rFonts w:hAnsi="仿宋_GB2312"/>
          <w:color w:val="000000"/>
        </w:rPr>
        <w:t>县级图书馆、文化馆达到文化和旅游部一级标准，县级图书馆人均占有藏书</w:t>
      </w:r>
      <w:r>
        <w:rPr>
          <w:color w:val="000000"/>
        </w:rPr>
        <w:t>0.85</w:t>
      </w:r>
      <w:r>
        <w:rPr>
          <w:rFonts w:hAnsi="仿宋_GB2312"/>
          <w:color w:val="000000"/>
        </w:rPr>
        <w:t>册以上；平均每册藏书年流通率</w:t>
      </w:r>
      <w:r>
        <w:rPr>
          <w:color w:val="000000"/>
        </w:rPr>
        <w:t>0.8</w:t>
      </w:r>
      <w:r>
        <w:rPr>
          <w:rFonts w:hAnsi="仿宋_GB2312"/>
          <w:color w:val="000000"/>
        </w:rPr>
        <w:t>次以上；人均年增新书在</w:t>
      </w:r>
      <w:r>
        <w:rPr>
          <w:color w:val="000000"/>
        </w:rPr>
        <w:t>0.05</w:t>
      </w:r>
      <w:r>
        <w:rPr>
          <w:rFonts w:hAnsi="仿宋_GB2312"/>
          <w:color w:val="000000"/>
        </w:rPr>
        <w:t>册以上；人均到馆次数</w:t>
      </w:r>
      <w:r>
        <w:rPr>
          <w:color w:val="000000"/>
        </w:rPr>
        <w:t>0.5</w:t>
      </w:r>
      <w:r>
        <w:rPr>
          <w:rFonts w:hAnsi="仿宋_GB2312"/>
          <w:color w:val="000000"/>
        </w:rPr>
        <w:t>次以上。</w:t>
      </w:r>
    </w:p>
    <w:p>
      <w:pPr>
        <w:spacing w:line="576" w:lineRule="exact"/>
        <w:ind w:firstLine="643" w:firstLineChars="200"/>
        <w:rPr>
          <w:color w:val="000000"/>
        </w:rPr>
      </w:pPr>
      <w:r>
        <w:rPr>
          <w:b/>
          <w:bCs/>
          <w:color w:val="000000"/>
          <w:szCs w:val="22"/>
        </w:rPr>
        <w:t>3.</w:t>
      </w:r>
      <w:r>
        <w:rPr>
          <w:rFonts w:hAnsi="仿宋_GB2312"/>
          <w:b/>
          <w:bCs/>
          <w:color w:val="000000"/>
          <w:szCs w:val="22"/>
        </w:rPr>
        <w:t>乡镇（街道）综合文化站建设。</w:t>
      </w:r>
      <w:r>
        <w:rPr>
          <w:color w:val="000000"/>
        </w:rPr>
        <w:t>98</w:t>
      </w:r>
      <w:r>
        <w:rPr>
          <w:rFonts w:hAnsi="仿宋_GB2312"/>
          <w:color w:val="000000"/>
        </w:rPr>
        <w:t>％的乡镇（街道）建有符合省定建设标准和功能的综合文化站（面积在</w:t>
      </w:r>
      <w:r>
        <w:rPr>
          <w:color w:val="000000"/>
        </w:rPr>
        <w:t>300</w:t>
      </w:r>
      <w:r>
        <w:rPr>
          <w:rFonts w:hAnsi="仿宋_GB2312"/>
          <w:color w:val="000000"/>
        </w:rPr>
        <w:t>平方米以上）。</w:t>
      </w:r>
    </w:p>
    <w:p>
      <w:pPr>
        <w:spacing w:line="576" w:lineRule="exact"/>
        <w:ind w:firstLine="643" w:firstLineChars="200"/>
        <w:rPr>
          <w:color w:val="000000"/>
        </w:rPr>
      </w:pPr>
      <w:r>
        <w:rPr>
          <w:b/>
          <w:bCs/>
          <w:color w:val="000000"/>
          <w:szCs w:val="22"/>
        </w:rPr>
        <w:t>4.</w:t>
      </w:r>
      <w:r>
        <w:rPr>
          <w:rFonts w:hAnsi="仿宋_GB2312"/>
          <w:b/>
          <w:bCs/>
          <w:color w:val="000000"/>
          <w:szCs w:val="22"/>
        </w:rPr>
        <w:t>村（社区）综合文化服务中心建设。</w:t>
      </w:r>
      <w:r>
        <w:rPr>
          <w:color w:val="000000"/>
        </w:rPr>
        <w:t>统筹建有集宣传文化、党员教育、科技普及、普法教育、体育健身等多功能于一体、符合省定建设标准的基层综合文化服务中心。30%的</w:t>
      </w:r>
      <w:r>
        <w:rPr>
          <w:rFonts w:hAnsi="仿宋_GB2312"/>
          <w:color w:val="000000"/>
        </w:rPr>
        <w:t>行政村建有</w:t>
      </w:r>
      <w:r>
        <w:rPr>
          <w:color w:val="000000"/>
        </w:rPr>
        <w:t>“</w:t>
      </w:r>
      <w:r>
        <w:rPr>
          <w:rFonts w:hAnsi="仿宋_GB2312"/>
          <w:color w:val="000000"/>
        </w:rPr>
        <w:t>百姓舞台</w:t>
      </w:r>
      <w:r>
        <w:rPr>
          <w:color w:val="000000"/>
        </w:rPr>
        <w:t>”</w:t>
      </w:r>
      <w:r>
        <w:rPr>
          <w:rFonts w:hAnsi="仿宋_GB2312"/>
          <w:color w:val="000000"/>
        </w:rPr>
        <w:t>农村文化广场。结合村级（社区）行政组织办公场所建设，行政村（社区）设有面积不低于</w:t>
      </w:r>
      <w:r>
        <w:rPr>
          <w:color w:val="000000"/>
        </w:rPr>
        <w:t>150</w:t>
      </w:r>
      <w:r>
        <w:rPr>
          <w:rFonts w:hAnsi="仿宋_GB2312"/>
          <w:color w:val="000000"/>
        </w:rPr>
        <w:t>平方米的文化活动室（中心），每个文化活动室都建有公共数字文化基层服务点、村图书阅览室等。</w:t>
      </w:r>
    </w:p>
    <w:p>
      <w:pPr>
        <w:spacing w:line="576" w:lineRule="exact"/>
        <w:ind w:firstLine="643" w:firstLineChars="200"/>
        <w:rPr>
          <w:color w:val="000000"/>
        </w:rPr>
      </w:pPr>
      <w:r>
        <w:rPr>
          <w:b/>
          <w:bCs/>
          <w:color w:val="000000"/>
          <w:szCs w:val="22"/>
        </w:rPr>
        <w:t>5.</w:t>
      </w:r>
      <w:r>
        <w:rPr>
          <w:rFonts w:hAnsi="仿宋_GB2312"/>
          <w:b/>
          <w:bCs/>
          <w:color w:val="000000"/>
          <w:szCs w:val="22"/>
        </w:rPr>
        <w:t>公共文化数字化建设。</w:t>
      </w:r>
      <w:r>
        <w:rPr>
          <w:rFonts w:hAnsi="仿宋_GB2312"/>
          <w:color w:val="000000"/>
        </w:rPr>
        <w:t>促进文化与科技的融合发展，充分发挥现代科技在公共文化领域的作用，丰富线上公共文化资源，建设数字化图书馆、数字化文化馆、数字化博物馆。实现与省、市、县公共图书馆、文化馆、博物馆的网络连通，建立覆盖示范区的公共文化数字服务体系。县级图书馆可用数字资源不低于</w:t>
      </w:r>
      <w:r>
        <w:rPr>
          <w:color w:val="000000"/>
        </w:rPr>
        <w:t>5TB</w:t>
      </w:r>
      <w:r>
        <w:rPr>
          <w:rFonts w:hAnsi="仿宋_GB2312"/>
          <w:color w:val="000000"/>
        </w:rPr>
        <w:t>。市县两级图书馆、文化馆数字化建成体系。统筹实施文化信息资源共享、直播卫星广播电视公共服务、农村数字电影放映、数字农家书屋、城乡电子阅报屏建设等项目，构建标准统一、互联互通的公共数字文化服务平台，在基层实现共建共享。</w:t>
      </w:r>
    </w:p>
    <w:p>
      <w:pPr>
        <w:spacing w:line="576" w:lineRule="exact"/>
        <w:ind w:firstLine="643" w:firstLineChars="200"/>
        <w:rPr>
          <w:rFonts w:eastAsia="楷体_GB2312"/>
          <w:b/>
          <w:bCs/>
          <w:color w:val="000000"/>
          <w:szCs w:val="22"/>
        </w:rPr>
      </w:pPr>
      <w:r>
        <w:rPr>
          <w:rFonts w:hAnsi="楷体_GB2312" w:eastAsia="楷体_GB2312"/>
          <w:b/>
          <w:bCs/>
          <w:color w:val="000000"/>
          <w:szCs w:val="22"/>
        </w:rPr>
        <w:t>（二）公共文化服务供给</w:t>
      </w:r>
    </w:p>
    <w:p>
      <w:pPr>
        <w:spacing w:line="576" w:lineRule="exact"/>
        <w:ind w:firstLine="643" w:firstLineChars="200"/>
        <w:rPr>
          <w:color w:val="000000"/>
        </w:rPr>
      </w:pPr>
      <w:r>
        <w:rPr>
          <w:b/>
          <w:bCs/>
          <w:color w:val="000000"/>
        </w:rPr>
        <w:t>6.</w:t>
      </w:r>
      <w:r>
        <w:rPr>
          <w:rFonts w:hAnsi="仿宋_GB2312"/>
          <w:b/>
          <w:bCs/>
          <w:color w:val="000000"/>
        </w:rPr>
        <w:t>建立便捷的群众需求征集机制</w:t>
      </w:r>
      <w:r>
        <w:rPr>
          <w:rFonts w:hAnsi="仿宋_GB2312"/>
          <w:color w:val="000000"/>
        </w:rPr>
        <w:t>。通过数字化建设，形成以群众需求为导向的供给模式，提供符合群众需求的公共数字文化内容，让群众通过手机等移动端便捷享受数字文化服务。制定公共文化服务提供目录，开展</w:t>
      </w:r>
      <w:r>
        <w:rPr>
          <w:color w:val="000000"/>
        </w:rPr>
        <w:t>“</w:t>
      </w:r>
      <w:r>
        <w:rPr>
          <w:rFonts w:hAnsi="仿宋_GB2312"/>
          <w:color w:val="000000"/>
        </w:rPr>
        <w:t>菜单式</w:t>
      </w:r>
      <w:r>
        <w:rPr>
          <w:color w:val="000000"/>
        </w:rPr>
        <w:t>”“</w:t>
      </w:r>
      <w:r>
        <w:rPr>
          <w:rFonts w:hAnsi="仿宋_GB2312"/>
          <w:color w:val="000000"/>
        </w:rPr>
        <w:t>订单式</w:t>
      </w:r>
      <w:r>
        <w:rPr>
          <w:color w:val="000000"/>
        </w:rPr>
        <w:t>”</w:t>
      </w:r>
      <w:r>
        <w:rPr>
          <w:rFonts w:hAnsi="仿宋_GB2312"/>
          <w:color w:val="000000"/>
        </w:rPr>
        <w:t>服务。开展馆际合作，推进本地公共文化机构互联互通，开展文化服务</w:t>
      </w:r>
      <w:r>
        <w:rPr>
          <w:color w:val="000000"/>
        </w:rPr>
        <w:t>“</w:t>
      </w:r>
      <w:r>
        <w:rPr>
          <w:rFonts w:hAnsi="仿宋_GB2312"/>
          <w:color w:val="000000"/>
        </w:rPr>
        <w:t>一卡通</w:t>
      </w:r>
      <w:r>
        <w:rPr>
          <w:color w:val="000000"/>
        </w:rPr>
        <w:t>”</w:t>
      </w:r>
      <w:r>
        <w:rPr>
          <w:rFonts w:hAnsi="仿宋_GB2312"/>
          <w:color w:val="000000"/>
        </w:rPr>
        <w:t>、公共文化巡展巡讲巡演等服务，实现区域文化共建共享。</w:t>
      </w:r>
    </w:p>
    <w:p>
      <w:pPr>
        <w:spacing w:line="576" w:lineRule="exact"/>
        <w:ind w:firstLine="643" w:firstLineChars="200"/>
        <w:rPr>
          <w:color w:val="000000"/>
        </w:rPr>
      </w:pPr>
      <w:r>
        <w:rPr>
          <w:b/>
          <w:bCs/>
          <w:color w:val="000000"/>
          <w:szCs w:val="22"/>
        </w:rPr>
        <w:t>7.</w:t>
      </w:r>
      <w:r>
        <w:rPr>
          <w:rFonts w:hAnsi="仿宋_GB2312"/>
          <w:b/>
          <w:bCs/>
          <w:color w:val="000000"/>
          <w:szCs w:val="22"/>
        </w:rPr>
        <w:t>统筹城乡发展，推动基本公共文化服务均等化。</w:t>
      </w:r>
      <w:r>
        <w:rPr>
          <w:rFonts w:hAnsi="仿宋_GB2312"/>
          <w:color w:val="000000"/>
        </w:rPr>
        <w:t>面向基层、面向农村，实现重心下移、资源下移。积极组织城市文化和旅游行政部门和单位开展农村文化服务活动。县级公共文化机构形成</w:t>
      </w:r>
      <w:r>
        <w:rPr>
          <w:color w:val="000000"/>
        </w:rPr>
        <w:t>1-2</w:t>
      </w:r>
      <w:r>
        <w:rPr>
          <w:rFonts w:hAnsi="仿宋_GB2312"/>
          <w:color w:val="000000"/>
        </w:rPr>
        <w:t>个具有鲜明特色、在全县有较大影响力的服务品牌。农村和社区依托传统节日、重大庆典活动和民族民间文化资源，开展群众喜闻乐见、丰富多彩的文体活动，人均参加文体活动的时间每周不少于</w:t>
      </w:r>
      <w:r>
        <w:rPr>
          <w:color w:val="000000"/>
        </w:rPr>
        <w:t>5</w:t>
      </w:r>
      <w:r>
        <w:rPr>
          <w:rFonts w:hAnsi="仿宋_GB2312"/>
          <w:color w:val="000000"/>
        </w:rPr>
        <w:t>小时。</w:t>
      </w:r>
    </w:p>
    <w:p>
      <w:pPr>
        <w:spacing w:line="576" w:lineRule="exact"/>
        <w:ind w:firstLine="643" w:firstLineChars="200"/>
        <w:rPr>
          <w:color w:val="000000"/>
        </w:rPr>
      </w:pPr>
      <w:r>
        <w:rPr>
          <w:b/>
          <w:bCs/>
          <w:color w:val="000000"/>
          <w:szCs w:val="22"/>
        </w:rPr>
        <w:t>8.</w:t>
      </w:r>
      <w:r>
        <w:rPr>
          <w:rFonts w:hAnsi="仿宋_GB2312"/>
          <w:b/>
          <w:bCs/>
          <w:color w:val="000000"/>
          <w:szCs w:val="22"/>
        </w:rPr>
        <w:t>弱势群体和特殊人群的基本文化服务权益得到有效保障。</w:t>
      </w:r>
      <w:r>
        <w:rPr>
          <w:rFonts w:hAnsi="仿宋_GB2312"/>
          <w:color w:val="000000"/>
        </w:rPr>
        <w:t>城市各类公共文化设施免费或优惠向农民工、老人、少年儿童和残疾人开放，设置方便残障人士以及老年人、少年儿童的活动区域和服务项目。县级图书馆设立盲人阅读区，配备设备和盲文读物。县级文化馆经常性组织针对上述特殊人群的各类文体活动，开展面向农民工的文化培训等。</w:t>
      </w:r>
    </w:p>
    <w:p>
      <w:pPr>
        <w:spacing w:line="576" w:lineRule="exact"/>
        <w:ind w:firstLine="643" w:firstLineChars="200"/>
        <w:rPr>
          <w:color w:val="000000"/>
        </w:rPr>
      </w:pPr>
      <w:r>
        <w:rPr>
          <w:b/>
          <w:bCs/>
          <w:color w:val="000000"/>
          <w:szCs w:val="22"/>
        </w:rPr>
        <w:t>9.</w:t>
      </w:r>
      <w:r>
        <w:rPr>
          <w:rFonts w:hAnsi="仿宋_GB2312"/>
          <w:b/>
          <w:bCs/>
          <w:color w:val="000000"/>
          <w:szCs w:val="22"/>
        </w:rPr>
        <w:t>社会力量积极参与公共文化产品的生产和供给。</w:t>
      </w:r>
      <w:r>
        <w:rPr>
          <w:rFonts w:hAnsi="仿宋_GB2312"/>
          <w:color w:val="000000"/>
        </w:rPr>
        <w:t>面向市场，采取项目补贴、资助和政府招标采购等方式，实现提供主体和提供方式多元化。实施</w:t>
      </w:r>
      <w:r>
        <w:rPr>
          <w:color w:val="000000"/>
        </w:rPr>
        <w:t>“</w:t>
      </w:r>
      <w:r>
        <w:rPr>
          <w:rFonts w:hAnsi="仿宋_GB2312"/>
          <w:color w:val="000000"/>
        </w:rPr>
        <w:t>一县一团</w:t>
      </w:r>
      <w:r>
        <w:rPr>
          <w:color w:val="000000"/>
        </w:rPr>
        <w:t>”</w:t>
      </w:r>
      <w:r>
        <w:rPr>
          <w:rFonts w:hAnsi="仿宋_GB2312"/>
          <w:color w:val="000000"/>
        </w:rPr>
        <w:t>工程，各县至少重点扶持一个国有或民营艺术院团承担公益演出服务职能。每个行政村（社区）建立不少于</w:t>
      </w:r>
      <w:r>
        <w:rPr>
          <w:color w:val="000000"/>
        </w:rPr>
        <w:t>2</w:t>
      </w:r>
      <w:r>
        <w:rPr>
          <w:rFonts w:hAnsi="仿宋_GB2312"/>
          <w:color w:val="000000"/>
        </w:rPr>
        <w:t>支社会文艺团队，每年开展文化活动不少于</w:t>
      </w:r>
      <w:r>
        <w:rPr>
          <w:color w:val="000000"/>
        </w:rPr>
        <w:t>2</w:t>
      </w:r>
      <w:r>
        <w:rPr>
          <w:rFonts w:hAnsi="仿宋_GB2312"/>
          <w:color w:val="000000"/>
        </w:rPr>
        <w:t>次。常态化面向社会招募志愿者，开展文化志愿服务。文化馆、图书馆总馆、分馆均有文化志愿者队伍，常态化开展文化志愿服务活动，并取得一定成效。</w:t>
      </w:r>
    </w:p>
    <w:p>
      <w:pPr>
        <w:spacing w:line="576" w:lineRule="exact"/>
        <w:ind w:firstLine="643" w:firstLineChars="200"/>
        <w:rPr>
          <w:color w:val="000000"/>
        </w:rPr>
      </w:pPr>
      <w:r>
        <w:rPr>
          <w:b/>
          <w:bCs/>
          <w:color w:val="000000"/>
          <w:szCs w:val="22"/>
        </w:rPr>
        <w:t>10.</w:t>
      </w:r>
      <w:r>
        <w:rPr>
          <w:rFonts w:hAnsi="仿宋_GB2312"/>
          <w:b/>
          <w:bCs/>
          <w:color w:val="000000"/>
          <w:szCs w:val="22"/>
        </w:rPr>
        <w:t>图书馆、文化馆（站）、博物馆实现免费开放。</w:t>
      </w:r>
      <w:r>
        <w:rPr>
          <w:rFonts w:hAnsi="仿宋_GB2312"/>
          <w:color w:val="000000"/>
        </w:rPr>
        <w:t>图书馆每周开放时间不少于</w:t>
      </w:r>
      <w:r>
        <w:rPr>
          <w:color w:val="000000"/>
        </w:rPr>
        <w:t>56</w:t>
      </w:r>
      <w:r>
        <w:rPr>
          <w:rFonts w:hAnsi="仿宋_GB2312"/>
          <w:color w:val="000000"/>
        </w:rPr>
        <w:t>小时。文化馆（站）每周开放时间不少于</w:t>
      </w:r>
      <w:r>
        <w:rPr>
          <w:color w:val="000000"/>
        </w:rPr>
        <w:t>42</w:t>
      </w:r>
      <w:r>
        <w:rPr>
          <w:rFonts w:hAnsi="仿宋_GB2312"/>
          <w:color w:val="000000"/>
        </w:rPr>
        <w:t>小时。博物馆每周开放时间不少于</w:t>
      </w:r>
      <w:r>
        <w:rPr>
          <w:color w:val="000000"/>
        </w:rPr>
        <w:t>48</w:t>
      </w:r>
      <w:r>
        <w:rPr>
          <w:rFonts w:hAnsi="仿宋_GB2312"/>
          <w:color w:val="000000"/>
        </w:rPr>
        <w:t>小时。避免行政化开放，有周末及下班时间开放时间安排。</w:t>
      </w:r>
    </w:p>
    <w:p>
      <w:pPr>
        <w:spacing w:line="576" w:lineRule="exact"/>
        <w:ind w:firstLine="643" w:firstLineChars="200"/>
        <w:rPr>
          <w:color w:val="000000"/>
        </w:rPr>
      </w:pPr>
      <w:r>
        <w:rPr>
          <w:b/>
          <w:bCs/>
          <w:color w:val="000000"/>
          <w:szCs w:val="22"/>
        </w:rPr>
        <w:t>11.</w:t>
      </w:r>
      <w:r>
        <w:rPr>
          <w:rFonts w:hAnsi="仿宋_GB2312"/>
          <w:b/>
          <w:bCs/>
          <w:color w:val="000000"/>
          <w:szCs w:val="22"/>
        </w:rPr>
        <w:t>常态化开展文化惠民活动。</w:t>
      </w:r>
      <w:r>
        <w:rPr>
          <w:rFonts w:hAnsi="仿宋_GB2312"/>
          <w:color w:val="000000"/>
        </w:rPr>
        <w:t>县级图书馆、文化馆各配备</w:t>
      </w:r>
      <w:r>
        <w:rPr>
          <w:color w:val="000000"/>
        </w:rPr>
        <w:t>1</w:t>
      </w:r>
      <w:r>
        <w:rPr>
          <w:rFonts w:hAnsi="仿宋_GB2312"/>
          <w:color w:val="000000"/>
        </w:rPr>
        <w:t>台以上流动服务车。县级图书馆每年下基层的流动服务次数不低于</w:t>
      </w:r>
      <w:r>
        <w:rPr>
          <w:color w:val="000000"/>
        </w:rPr>
        <w:t>40</w:t>
      </w:r>
      <w:r>
        <w:rPr>
          <w:rFonts w:hAnsi="仿宋_GB2312"/>
          <w:color w:val="000000"/>
        </w:rPr>
        <w:t>次，县级文化馆每年组织流动演出</w:t>
      </w:r>
      <w:r>
        <w:rPr>
          <w:color w:val="000000"/>
        </w:rPr>
        <w:t>10</w:t>
      </w:r>
      <w:r>
        <w:rPr>
          <w:rFonts w:hAnsi="仿宋_GB2312"/>
          <w:color w:val="000000"/>
        </w:rPr>
        <w:t>场以上，流动展览</w:t>
      </w:r>
      <w:r>
        <w:rPr>
          <w:color w:val="000000"/>
        </w:rPr>
        <w:t>8</w:t>
      </w:r>
      <w:r>
        <w:rPr>
          <w:rFonts w:hAnsi="仿宋_GB2312"/>
          <w:color w:val="000000"/>
        </w:rPr>
        <w:t>场以上。县级博物馆每年至少举办或引进临时展览</w:t>
      </w:r>
      <w:r>
        <w:rPr>
          <w:color w:val="000000"/>
        </w:rPr>
        <w:t>1</w:t>
      </w:r>
      <w:r>
        <w:rPr>
          <w:rFonts w:hAnsi="仿宋_GB2312"/>
          <w:color w:val="000000"/>
        </w:rPr>
        <w:t>个，开展社会教育活动</w:t>
      </w:r>
      <w:r>
        <w:rPr>
          <w:color w:val="000000"/>
        </w:rPr>
        <w:t>5</w:t>
      </w:r>
      <w:r>
        <w:rPr>
          <w:rFonts w:hAnsi="仿宋_GB2312"/>
          <w:color w:val="000000"/>
        </w:rPr>
        <w:t>次以上。每个行政村每月看</w:t>
      </w:r>
      <w:r>
        <w:rPr>
          <w:color w:val="000000"/>
        </w:rPr>
        <w:t>1</w:t>
      </w:r>
      <w:r>
        <w:rPr>
          <w:rFonts w:hAnsi="仿宋_GB2312"/>
          <w:color w:val="000000"/>
        </w:rPr>
        <w:t>场以上电影、每年看</w:t>
      </w:r>
      <w:r>
        <w:rPr>
          <w:color w:val="000000"/>
        </w:rPr>
        <w:t>4</w:t>
      </w:r>
      <w:r>
        <w:rPr>
          <w:rFonts w:hAnsi="仿宋_GB2312"/>
          <w:color w:val="000000"/>
        </w:rPr>
        <w:t>场以上戏剧或文艺演出。</w:t>
      </w:r>
    </w:p>
    <w:p>
      <w:pPr>
        <w:spacing w:line="576" w:lineRule="exact"/>
        <w:ind w:firstLine="643" w:firstLineChars="200"/>
        <w:rPr>
          <w:color w:val="000000"/>
        </w:rPr>
      </w:pPr>
      <w:r>
        <w:rPr>
          <w:b/>
          <w:bCs/>
          <w:color w:val="000000"/>
          <w:szCs w:val="22"/>
        </w:rPr>
        <w:t>12.</w:t>
      </w:r>
      <w:r>
        <w:rPr>
          <w:rFonts w:hAnsi="仿宋_GB2312"/>
          <w:b/>
          <w:bCs/>
          <w:color w:val="000000"/>
          <w:szCs w:val="22"/>
        </w:rPr>
        <w:t>非物质文化遗产保护工作有效开展。</w:t>
      </w:r>
      <w:r>
        <w:rPr>
          <w:rFonts w:hAnsi="仿宋_GB2312"/>
          <w:color w:val="000000"/>
        </w:rPr>
        <w:t>每年至少举办</w:t>
      </w:r>
      <w:r>
        <w:rPr>
          <w:color w:val="000000"/>
        </w:rPr>
        <w:t>1</w:t>
      </w:r>
      <w:r>
        <w:rPr>
          <w:rFonts w:hAnsi="仿宋_GB2312"/>
          <w:color w:val="000000"/>
        </w:rPr>
        <w:t>次非物质文化遗产展览、展示、展演活动。</w:t>
      </w:r>
    </w:p>
    <w:p>
      <w:pPr>
        <w:spacing w:line="576" w:lineRule="exact"/>
        <w:ind w:firstLine="643" w:firstLineChars="200"/>
        <w:rPr>
          <w:rFonts w:eastAsia="楷体_GB2312"/>
          <w:b/>
          <w:bCs/>
          <w:color w:val="000000"/>
        </w:rPr>
      </w:pPr>
      <w:r>
        <w:rPr>
          <w:b/>
          <w:bCs/>
          <w:color w:val="000000"/>
          <w:szCs w:val="22"/>
        </w:rPr>
        <w:t>13.</w:t>
      </w:r>
      <w:r>
        <w:rPr>
          <w:rFonts w:hAnsi="仿宋_GB2312"/>
          <w:b/>
          <w:bCs/>
          <w:color w:val="000000"/>
          <w:szCs w:val="22"/>
        </w:rPr>
        <w:t>完善古籍保护计划，制定古籍保护工作方案。</w:t>
      </w:r>
      <w:r>
        <w:rPr>
          <w:rFonts w:hAnsi="仿宋_GB2312"/>
          <w:color w:val="000000"/>
        </w:rPr>
        <w:t>加大古籍宣传推广力度，以人们喜闻乐见的方式，让古籍走进百姓中间，让传统文化融入群众生活。</w:t>
      </w:r>
    </w:p>
    <w:p>
      <w:pPr>
        <w:spacing w:line="576" w:lineRule="exact"/>
        <w:ind w:firstLine="643" w:firstLineChars="200"/>
        <w:rPr>
          <w:rFonts w:eastAsia="楷体_GB2312"/>
          <w:b/>
          <w:bCs/>
          <w:color w:val="000000"/>
        </w:rPr>
      </w:pPr>
      <w:r>
        <w:rPr>
          <w:rFonts w:hAnsi="楷体_GB2312" w:eastAsia="楷体_GB2312"/>
          <w:b/>
          <w:bCs/>
          <w:color w:val="000000"/>
        </w:rPr>
        <w:t>（三）公共文化服务保障</w:t>
      </w:r>
    </w:p>
    <w:p>
      <w:pPr>
        <w:spacing w:line="576" w:lineRule="exact"/>
        <w:ind w:firstLine="643" w:firstLineChars="200"/>
        <w:rPr>
          <w:color w:val="000000"/>
        </w:rPr>
      </w:pPr>
      <w:r>
        <w:rPr>
          <w:b/>
          <w:bCs/>
          <w:color w:val="000000"/>
        </w:rPr>
        <w:t>14.</w:t>
      </w:r>
      <w:r>
        <w:rPr>
          <w:rFonts w:hAnsi="仿宋_GB2312"/>
          <w:b/>
          <w:bCs/>
          <w:color w:val="000000"/>
        </w:rPr>
        <w:t>党委政府高度重视公共文化服务体系建设。</w:t>
      </w:r>
      <w:r>
        <w:rPr>
          <w:rFonts w:hAnsi="仿宋_GB2312"/>
          <w:color w:val="000000"/>
        </w:rPr>
        <w:t>公共文化服务体系建设、文旅法治建设纳入政府重要议事日程，纳入当地国民经济和社会发展总体规划，纳入对地方政府的考核指标体系，纳入政府目标管理责任制，纳入财政预算，纳入城乡建设整体规划。建立公共文化机构绩效考评制度，考评结果作为确定预算、收入分配与负责人奖惩的重要依据。对重大文化项目资金使用、实施效果、服务效能等实行监督和评估。研究制定公众满意度指标，建立群众评价和反馈机制。</w:t>
      </w:r>
    </w:p>
    <w:p>
      <w:pPr>
        <w:spacing w:line="576" w:lineRule="exact"/>
        <w:ind w:firstLine="643" w:firstLineChars="200"/>
        <w:rPr>
          <w:color w:val="000000"/>
        </w:rPr>
      </w:pPr>
      <w:r>
        <w:rPr>
          <w:b/>
          <w:bCs/>
          <w:color w:val="000000"/>
        </w:rPr>
        <w:t>15.</w:t>
      </w:r>
      <w:r>
        <w:rPr>
          <w:rFonts w:hAnsi="仿宋_GB2312"/>
          <w:b/>
          <w:bCs/>
          <w:color w:val="000000"/>
        </w:rPr>
        <w:t>按标准落实场地建设。</w:t>
      </w:r>
      <w:r>
        <w:rPr>
          <w:rFonts w:hAnsi="仿宋_GB2312"/>
          <w:color w:val="000000"/>
        </w:rPr>
        <w:t>切实按照国务院《公共文化体育设施条例》和国家有关部门编制的《公共图书馆建设用地指标》《公共图书馆建设标准》《文化馆建设用地指标》《文化馆建设标准》《乡镇综合文化站建设标准》《城市社区体育设施建设用地指标》《博物馆建筑设计规范》等标准，无偿划拨公共图书馆、文化馆（站）、博物馆等公益性文化设施建设用地。</w:t>
      </w:r>
    </w:p>
    <w:p>
      <w:pPr>
        <w:spacing w:line="576" w:lineRule="exact"/>
        <w:ind w:firstLine="643" w:firstLineChars="200"/>
        <w:rPr>
          <w:color w:val="000000"/>
        </w:rPr>
      </w:pPr>
      <w:r>
        <w:rPr>
          <w:b/>
          <w:bCs/>
          <w:color w:val="000000"/>
        </w:rPr>
        <w:t>16.</w:t>
      </w:r>
      <w:r>
        <w:rPr>
          <w:rFonts w:hAnsi="仿宋_GB2312"/>
          <w:b/>
          <w:bCs/>
          <w:color w:val="000000"/>
        </w:rPr>
        <w:t>公共文化服务体系建设经费得到落实。</w:t>
      </w:r>
      <w:r>
        <w:rPr>
          <w:rFonts w:hAnsi="仿宋_GB2312"/>
          <w:color w:val="000000"/>
        </w:rPr>
        <w:t>建立完善公共文化投入保障机制，近三年财政投入不低于同级财政经常性收入的增长幅度，人均文化事业费（按常住人口计算）高于所属市（州）平均水平。建立图书馆、文化馆、博物馆运行经费及乡镇综合文化站经费的合理增长机制。</w:t>
      </w:r>
    </w:p>
    <w:p>
      <w:pPr>
        <w:spacing w:line="576" w:lineRule="exact"/>
        <w:ind w:firstLine="643" w:firstLineChars="200"/>
        <w:rPr>
          <w:color w:val="000000"/>
        </w:rPr>
      </w:pPr>
      <w:r>
        <w:rPr>
          <w:b/>
          <w:bCs/>
          <w:color w:val="000000"/>
        </w:rPr>
        <w:t>17.</w:t>
      </w:r>
      <w:r>
        <w:rPr>
          <w:rFonts w:hAnsi="仿宋_GB2312"/>
          <w:b/>
          <w:bCs/>
          <w:color w:val="000000"/>
        </w:rPr>
        <w:t>夯实基层文化队伍建设。</w:t>
      </w:r>
      <w:r>
        <w:rPr>
          <w:rFonts w:hAnsi="仿宋_GB2312"/>
          <w:color w:val="000000"/>
        </w:rPr>
        <w:t>落实乡镇（街道）综合文化站</w:t>
      </w:r>
      <w:r>
        <w:rPr>
          <w:color w:val="000000"/>
        </w:rPr>
        <w:t>“</w:t>
      </w:r>
      <w:r>
        <w:rPr>
          <w:rFonts w:hAnsi="仿宋_GB2312"/>
          <w:color w:val="000000"/>
        </w:rPr>
        <w:t>县聘乡用</w:t>
      </w:r>
      <w:r>
        <w:rPr>
          <w:color w:val="000000"/>
        </w:rPr>
        <w:t>”</w:t>
      </w:r>
      <w:r>
        <w:rPr>
          <w:rFonts w:hAnsi="仿宋_GB2312"/>
          <w:color w:val="000000"/>
        </w:rPr>
        <w:t>政策，确保每个乡镇文化站有</w:t>
      </w:r>
      <w:r>
        <w:rPr>
          <w:color w:val="000000"/>
        </w:rPr>
        <w:t>1</w:t>
      </w:r>
      <w:r>
        <w:rPr>
          <w:rFonts w:hAnsi="仿宋_GB2312"/>
          <w:color w:val="000000"/>
        </w:rPr>
        <w:t>名事业编制，有</w:t>
      </w:r>
      <w:r>
        <w:rPr>
          <w:color w:val="000000"/>
        </w:rPr>
        <w:t>2</w:t>
      </w:r>
      <w:r>
        <w:rPr>
          <w:rFonts w:hAnsi="仿宋_GB2312"/>
          <w:color w:val="000000"/>
        </w:rPr>
        <w:t>名工作人员，每个行政村有</w:t>
      </w:r>
      <w:r>
        <w:rPr>
          <w:color w:val="000000"/>
        </w:rPr>
        <w:t>1</w:t>
      </w:r>
      <w:r>
        <w:rPr>
          <w:rFonts w:hAnsi="仿宋_GB2312"/>
          <w:color w:val="000000"/>
        </w:rPr>
        <w:t>个政府保障的公益性文化岗位。鼓励和支持文化专业人员、高校毕业生和志愿者到基层从事公共文化服务工作。</w:t>
      </w:r>
    </w:p>
    <w:p>
      <w:pPr>
        <w:spacing w:line="576" w:lineRule="exact"/>
        <w:ind w:firstLine="643" w:firstLineChars="200"/>
        <w:rPr>
          <w:color w:val="000000"/>
        </w:rPr>
      </w:pPr>
      <w:r>
        <w:rPr>
          <w:b/>
          <w:bCs/>
          <w:color w:val="000000"/>
        </w:rPr>
        <w:t>18.</w:t>
      </w:r>
      <w:r>
        <w:rPr>
          <w:rFonts w:hAnsi="仿宋_GB2312"/>
          <w:b/>
          <w:bCs/>
          <w:color w:val="000000"/>
        </w:rPr>
        <w:t>加大基层文化人才培养力度。</w:t>
      </w:r>
      <w:r>
        <w:rPr>
          <w:rFonts w:hAnsi="仿宋_GB2312"/>
          <w:color w:val="000000"/>
        </w:rPr>
        <w:t>县级文化单位在职员工参加脱产培训时间每年不少于</w:t>
      </w:r>
      <w:r>
        <w:rPr>
          <w:color w:val="000000"/>
        </w:rPr>
        <w:t>20</w:t>
      </w:r>
      <w:r>
        <w:rPr>
          <w:rFonts w:hAnsi="仿宋_GB2312"/>
          <w:color w:val="000000"/>
        </w:rPr>
        <w:t>天，乡镇街道、村、社区基层文化专兼职人员参加集中培训时间每年不少于</w:t>
      </w:r>
      <w:r>
        <w:rPr>
          <w:color w:val="000000"/>
        </w:rPr>
        <w:t>10</w:t>
      </w:r>
      <w:r>
        <w:rPr>
          <w:rFonts w:hAnsi="仿宋_GB2312"/>
          <w:color w:val="000000"/>
        </w:rPr>
        <w:t>天。县、乡、村基层文化专兼职人员参加全国基层文化队伍远程网络培训时间每年不少于</w:t>
      </w:r>
      <w:r>
        <w:rPr>
          <w:color w:val="000000"/>
        </w:rPr>
        <w:t>50</w:t>
      </w:r>
      <w:r>
        <w:rPr>
          <w:rFonts w:hAnsi="仿宋_GB2312"/>
          <w:color w:val="000000"/>
        </w:rPr>
        <w:t>课时。</w:t>
      </w:r>
    </w:p>
    <w:p>
      <w:pPr>
        <w:spacing w:line="576" w:lineRule="exact"/>
        <w:ind w:firstLine="640" w:firstLineChars="200"/>
        <w:rPr>
          <w:rFonts w:eastAsia="黑体"/>
          <w:color w:val="000000"/>
        </w:rPr>
      </w:pPr>
      <w:r>
        <w:rPr>
          <w:rFonts w:hAnsi="黑体" w:eastAsia="黑体"/>
          <w:color w:val="000000"/>
        </w:rPr>
        <w:t>二、文化和旅游公共服务融合发展方面</w:t>
      </w:r>
    </w:p>
    <w:p>
      <w:pPr>
        <w:spacing w:line="576" w:lineRule="exact"/>
        <w:ind w:firstLine="643" w:firstLineChars="200"/>
        <w:rPr>
          <w:color w:val="000000"/>
        </w:rPr>
      </w:pPr>
      <w:r>
        <w:rPr>
          <w:b/>
          <w:bCs/>
          <w:color w:val="000000"/>
        </w:rPr>
        <w:t>19.</w:t>
      </w:r>
      <w:r>
        <w:rPr>
          <w:rFonts w:hAnsi="仿宋_GB2312"/>
          <w:b/>
          <w:bCs/>
          <w:color w:val="000000"/>
        </w:rPr>
        <w:t>促进文化和旅游公共服务功能融合。</w:t>
      </w:r>
      <w:r>
        <w:rPr>
          <w:rFonts w:hAnsi="仿宋_GB2312"/>
          <w:color w:val="000000"/>
        </w:rPr>
        <w:t>县级公共图书馆、文化馆能提供旅游信息服务，</w:t>
      </w:r>
      <w:r>
        <w:rPr>
          <w:color w:val="000000"/>
        </w:rPr>
        <w:t>50%</w:t>
      </w:r>
      <w:r>
        <w:rPr>
          <w:rFonts w:hAnsi="仿宋_GB2312"/>
          <w:color w:val="000000"/>
        </w:rPr>
        <w:t>的基层综合文化服务中心具备旅游信息咨询中心、旅游集散中心功能，</w:t>
      </w:r>
      <w:r>
        <w:rPr>
          <w:color w:val="000000"/>
        </w:rPr>
        <w:t>50%</w:t>
      </w:r>
      <w:r>
        <w:rPr>
          <w:rFonts w:hAnsi="仿宋_GB2312"/>
          <w:color w:val="000000"/>
        </w:rPr>
        <w:t>的旅游服务设施增设文化活动室、图书阅览室等文化惠民功能。在旅游资源富集、游客集中的地区，公共文化服务能力提升明显。深入推进</w:t>
      </w:r>
      <w:r>
        <w:rPr>
          <w:color w:val="000000"/>
        </w:rPr>
        <w:t>“</w:t>
      </w:r>
      <w:r>
        <w:rPr>
          <w:rFonts w:hAnsi="仿宋_GB2312"/>
          <w:color w:val="000000"/>
        </w:rPr>
        <w:t>一县一品</w:t>
      </w:r>
      <w:r>
        <w:rPr>
          <w:color w:val="000000"/>
        </w:rPr>
        <w:t>”</w:t>
      </w:r>
      <w:r>
        <w:rPr>
          <w:rFonts w:hAnsi="仿宋_GB2312"/>
          <w:color w:val="000000"/>
        </w:rPr>
        <w:t>建设，形成有一定影响力的文化和旅游活动品牌。</w:t>
      </w:r>
    </w:p>
    <w:p>
      <w:pPr>
        <w:spacing w:line="576" w:lineRule="exact"/>
        <w:ind w:firstLine="640" w:firstLineChars="200"/>
        <w:rPr>
          <w:rFonts w:eastAsia="黑体"/>
          <w:color w:val="000000"/>
        </w:rPr>
      </w:pPr>
      <w:r>
        <w:rPr>
          <w:rFonts w:hAnsi="黑体" w:eastAsia="黑体"/>
          <w:color w:val="000000"/>
        </w:rPr>
        <w:t>三、公共文化服务支撑体系方面</w:t>
      </w:r>
    </w:p>
    <w:p>
      <w:pPr>
        <w:spacing w:line="576" w:lineRule="exact"/>
        <w:ind w:firstLine="643" w:firstLineChars="200"/>
        <w:rPr>
          <w:color w:val="000000"/>
        </w:rPr>
      </w:pPr>
      <w:r>
        <w:rPr>
          <w:b/>
          <w:bCs/>
          <w:color w:val="000000"/>
        </w:rPr>
        <w:t>20.</w:t>
      </w:r>
      <w:r>
        <w:rPr>
          <w:rFonts w:hAnsi="仿宋_GB2312"/>
          <w:b/>
          <w:bCs/>
          <w:color w:val="000000"/>
        </w:rPr>
        <w:t>加强公共文化服务示范区的创建指导。</w:t>
      </w:r>
      <w:r>
        <w:rPr>
          <w:rFonts w:hAnsi="仿宋_GB2312"/>
          <w:color w:val="000000"/>
        </w:rPr>
        <w:t>建立政府统一领导、相关部门分工负责、社会团体积极参与的管理体制和工作机制。建立政府与公共文化服务机构的专家咨询制度、公共文化服务机构运营的公众参与制度，形成政府宏观管理、行业协会参与、公共文化机构法人治理的管理模式。建立城市对农村的文化援助机制。</w:t>
      </w:r>
    </w:p>
    <w:p>
      <w:pPr>
        <w:spacing w:line="576" w:lineRule="exact"/>
        <w:ind w:firstLine="643" w:firstLineChars="200"/>
        <w:rPr>
          <w:color w:val="000000"/>
        </w:rPr>
      </w:pPr>
      <w:r>
        <w:rPr>
          <w:b/>
          <w:bCs/>
          <w:color w:val="000000"/>
        </w:rPr>
        <w:t>21.</w:t>
      </w:r>
      <w:r>
        <w:rPr>
          <w:rFonts w:hAnsi="仿宋_GB2312"/>
          <w:b/>
          <w:bCs/>
          <w:color w:val="000000"/>
        </w:rPr>
        <w:t>加强公共文化资源的整合利用。</w:t>
      </w:r>
      <w:r>
        <w:rPr>
          <w:rFonts w:hAnsi="仿宋_GB2312"/>
          <w:color w:val="000000"/>
        </w:rPr>
        <w:t>以示范区创建为平台，将分散在不同部门的公共文化服务资源和项目有效整合，实现基层公共文化服务资源的共建共享，形成综合、系统、运行有效的公共文化服务网络，体现便民惠民，提高整体服务能力，发挥综合效益。</w:t>
      </w:r>
    </w:p>
    <w:p>
      <w:pPr>
        <w:spacing w:line="576" w:lineRule="exact"/>
        <w:ind w:firstLine="643" w:firstLineChars="200"/>
        <w:rPr>
          <w:color w:val="000000"/>
        </w:rPr>
      </w:pPr>
      <w:r>
        <w:rPr>
          <w:b/>
          <w:bCs/>
          <w:color w:val="000000"/>
        </w:rPr>
        <w:t>22.</w:t>
      </w:r>
      <w:r>
        <w:rPr>
          <w:rFonts w:hAnsi="仿宋_GB2312"/>
          <w:b/>
          <w:bCs/>
          <w:color w:val="000000"/>
        </w:rPr>
        <w:t>加大公共文化服务体制机制的创新。</w:t>
      </w:r>
      <w:r>
        <w:rPr>
          <w:rFonts w:hAnsi="仿宋_GB2312"/>
          <w:color w:val="000000"/>
        </w:rPr>
        <w:t>深入推进公益性文化事业单位改革，形成责任明确、行为规范、富有效率、服务优良的管理体制和运行机制。制定吸引社会力量参与公益文化事业建设有关政策，民营文化团体、民间文艺社团和农民自办文化具有规模，成为政府公共文化服务的重要补充。</w:t>
      </w:r>
    </w:p>
    <w:p>
      <w:pPr>
        <w:spacing w:line="576" w:lineRule="exact"/>
        <w:ind w:firstLine="640" w:firstLineChars="200"/>
        <w:rPr>
          <w:rFonts w:eastAsia="黑体"/>
          <w:bCs/>
          <w:color w:val="000000"/>
        </w:rPr>
      </w:pPr>
      <w:r>
        <w:rPr>
          <w:rFonts w:hAnsi="黑体" w:eastAsia="黑体"/>
          <w:bCs/>
          <w:color w:val="000000"/>
        </w:rPr>
        <w:t>四、公共文化服务建设的创新示范方面</w:t>
      </w:r>
    </w:p>
    <w:p>
      <w:pPr>
        <w:spacing w:line="576" w:lineRule="exact"/>
        <w:ind w:firstLine="643" w:firstLineChars="200"/>
        <w:rPr>
          <w:color w:val="000000"/>
        </w:rPr>
      </w:pPr>
      <w:r>
        <w:rPr>
          <w:b/>
          <w:bCs/>
          <w:color w:val="000000"/>
        </w:rPr>
        <w:t>23.</w:t>
      </w:r>
      <w:r>
        <w:rPr>
          <w:rFonts w:hAnsi="仿宋_GB2312"/>
          <w:b/>
          <w:color w:val="000000"/>
        </w:rPr>
        <w:t>创新公共文化服务方式和手段。</w:t>
      </w:r>
      <w:r>
        <w:rPr>
          <w:rFonts w:hAnsi="仿宋_GB2312"/>
          <w:color w:val="000000"/>
        </w:rPr>
        <w:t>结合本地实际，积极探索实践，在全省乃至全国产生较大影响，具有典型示范作用和推广价值。</w:t>
      </w:r>
    </w:p>
    <w:p>
      <w:pPr>
        <w:spacing w:line="576" w:lineRule="exact"/>
        <w:ind w:firstLine="643" w:firstLineChars="200"/>
        <w:rPr>
          <w:color w:val="000000"/>
        </w:rPr>
      </w:pPr>
      <w:r>
        <w:rPr>
          <w:b/>
          <w:bCs/>
          <w:color w:val="000000"/>
        </w:rPr>
        <w:t>24.</w:t>
      </w:r>
      <w:r>
        <w:rPr>
          <w:rFonts w:hAnsi="仿宋_GB2312"/>
          <w:b/>
          <w:bCs/>
          <w:color w:val="000000"/>
        </w:rPr>
        <w:t>积极开展公共文化服务体系制度设计研究。</w:t>
      </w:r>
      <w:r>
        <w:rPr>
          <w:rFonts w:hAnsi="仿宋_GB2312"/>
          <w:color w:val="000000"/>
        </w:rPr>
        <w:t>针对公共文化服务体系建设的共性问题，总结经验，并形成课题研究成果，为本市和省级制定有关政策提供依据，为同类地区的发展提供借鉴。课题报告通过专家组验收。</w:t>
      </w:r>
    </w:p>
    <w:p>
      <w:pPr>
        <w:spacing w:line="576" w:lineRule="exact"/>
        <w:ind w:firstLine="640" w:firstLineChars="200"/>
        <w:rPr>
          <w:rFonts w:eastAsia="黑体"/>
          <w:color w:val="000000"/>
        </w:rPr>
      </w:pPr>
      <w:r>
        <w:rPr>
          <w:rFonts w:hAnsi="黑体" w:eastAsia="黑体"/>
          <w:color w:val="000000"/>
        </w:rPr>
        <w:t>五、其它方面</w:t>
      </w:r>
    </w:p>
    <w:p>
      <w:pPr>
        <w:spacing w:line="576" w:lineRule="exact"/>
        <w:ind w:firstLine="643" w:firstLineChars="200"/>
        <w:rPr>
          <w:color w:val="000000"/>
        </w:rPr>
      </w:pPr>
      <w:r>
        <w:rPr>
          <w:b/>
          <w:bCs/>
          <w:color w:val="000000"/>
        </w:rPr>
        <w:t>25.</w:t>
      </w:r>
      <w:r>
        <w:rPr>
          <w:rFonts w:hAnsi="仿宋_GB2312"/>
          <w:bCs/>
          <w:color w:val="000000"/>
        </w:rPr>
        <w:t>涉及广播电视、</w:t>
      </w:r>
      <w:r>
        <w:rPr>
          <w:rFonts w:hAnsi="仿宋_GB2312"/>
          <w:color w:val="000000"/>
        </w:rPr>
        <w:t>新闻出版、体育等部门的工作内容，按照部门要求达到相应标准。</w:t>
      </w:r>
    </w:p>
    <w:p>
      <w:pPr>
        <w:spacing w:line="576" w:lineRule="exact"/>
        <w:ind w:firstLine="643" w:firstLineChars="200"/>
        <w:rPr>
          <w:color w:val="000000"/>
        </w:rPr>
      </w:pPr>
      <w:r>
        <w:rPr>
          <w:b/>
          <w:bCs/>
          <w:color w:val="000000"/>
        </w:rPr>
        <w:t>26.</w:t>
      </w:r>
      <w:r>
        <w:rPr>
          <w:rFonts w:hAnsi="仿宋_GB2312"/>
          <w:color w:val="000000"/>
        </w:rPr>
        <w:t>涉及工会、共青团、妇联等部门的工作内容，达到中央和我省关于公共文化服务体系建设的相关政策要求。</w:t>
      </w:r>
    </w:p>
    <w:p>
      <w:pPr>
        <w:spacing w:line="576" w:lineRule="exact"/>
        <w:ind w:firstLine="640" w:firstLineChars="200"/>
        <w:rPr>
          <w:color w:val="000000"/>
        </w:rPr>
      </w:pPr>
      <w:r>
        <w:rPr>
          <w:rFonts w:hAnsi="仿宋_GB2312"/>
          <w:color w:val="000000"/>
        </w:rPr>
        <w:t>本标准将根据文化和旅游部制定的</w:t>
      </w:r>
      <w:r>
        <w:rPr>
          <w:color w:val="000000"/>
        </w:rPr>
        <w:t>“</w:t>
      </w:r>
      <w:r>
        <w:rPr>
          <w:rFonts w:hAnsi="仿宋_GB2312"/>
          <w:color w:val="000000"/>
        </w:rPr>
        <w:t>十四五</w:t>
      </w:r>
      <w:r>
        <w:rPr>
          <w:color w:val="000000"/>
        </w:rPr>
        <w:t>”</w:t>
      </w:r>
      <w:r>
        <w:rPr>
          <w:rFonts w:hAnsi="仿宋_GB2312"/>
          <w:color w:val="000000"/>
        </w:rPr>
        <w:t>公共文化服务相关标准适时进行调整。</w:t>
      </w:r>
    </w:p>
    <w:p>
      <w:pPr>
        <w:adjustRightInd w:val="0"/>
        <w:snapToGrid w:val="0"/>
        <w:spacing w:line="576" w:lineRule="exact"/>
        <w:jc w:val="left"/>
        <w:rPr>
          <w:rFonts w:eastAsia="黑体"/>
          <w:color w:val="000000"/>
          <w:sz w:val="28"/>
          <w:szCs w:val="28"/>
        </w:rPr>
      </w:pPr>
    </w:p>
    <w:p>
      <w:pPr>
        <w:adjustRightInd w:val="0"/>
        <w:snapToGrid w:val="0"/>
        <w:spacing w:line="576" w:lineRule="exact"/>
        <w:jc w:val="left"/>
        <w:rPr>
          <w:rFonts w:eastAsia="黑体"/>
          <w:color w:val="000000"/>
          <w:sz w:val="28"/>
          <w:szCs w:val="28"/>
        </w:rPr>
      </w:pPr>
    </w:p>
    <w:p>
      <w:pPr>
        <w:adjustRightInd w:val="0"/>
        <w:snapToGrid w:val="0"/>
        <w:spacing w:line="560" w:lineRule="exact"/>
        <w:jc w:val="left"/>
        <w:rPr>
          <w:rFonts w:hint="eastAsia" w:eastAsia="黑体"/>
          <w:color w:val="000000"/>
          <w:szCs w:val="32"/>
        </w:rPr>
      </w:pPr>
      <w:r>
        <w:rPr>
          <w:rFonts w:hAnsi="黑体" w:eastAsia="黑体"/>
          <w:color w:val="000000"/>
          <w:szCs w:val="32"/>
        </w:rPr>
        <w:t>附件</w:t>
      </w:r>
      <w:r>
        <w:rPr>
          <w:rFonts w:eastAsia="黑体"/>
          <w:color w:val="000000"/>
          <w:szCs w:val="32"/>
        </w:rPr>
        <w:t>3</w:t>
      </w:r>
    </w:p>
    <w:p>
      <w:pPr>
        <w:adjustRightInd w:val="0"/>
        <w:snapToGrid w:val="0"/>
        <w:spacing w:line="560" w:lineRule="exact"/>
        <w:jc w:val="left"/>
        <w:rPr>
          <w:rFonts w:eastAsia="黑体"/>
          <w:color w:val="000000"/>
          <w:szCs w:val="32"/>
        </w:rPr>
      </w:pPr>
    </w:p>
    <w:p>
      <w:pPr>
        <w:adjustRightInd w:val="0"/>
        <w:snapToGrid w:val="0"/>
        <w:spacing w:line="560" w:lineRule="exact"/>
        <w:jc w:val="center"/>
        <w:rPr>
          <w:rFonts w:eastAsia="方正小标宋_GBK"/>
          <w:color w:val="000000"/>
          <w:sz w:val="44"/>
          <w:szCs w:val="44"/>
        </w:rPr>
      </w:pPr>
      <w:r>
        <w:rPr>
          <w:rFonts w:eastAsia="方正小标宋_GBK"/>
          <w:color w:val="000000"/>
          <w:sz w:val="44"/>
          <w:szCs w:val="44"/>
        </w:rPr>
        <w:t>创建湖北省公共文化服务体系示范区申报方案</w:t>
      </w:r>
    </w:p>
    <w:p>
      <w:pPr>
        <w:spacing w:before="217" w:beforeLines="50" w:line="560" w:lineRule="exact"/>
        <w:jc w:val="center"/>
        <w:rPr>
          <w:rFonts w:eastAsia="楷体_GB2312"/>
          <w:color w:val="000000"/>
          <w:szCs w:val="32"/>
        </w:rPr>
      </w:pPr>
      <w:r>
        <w:rPr>
          <w:rFonts w:hAnsi="楷体_GB2312" w:eastAsia="楷体_GB2312"/>
          <w:color w:val="000000"/>
          <w:szCs w:val="32"/>
        </w:rPr>
        <w:t>（第四批）</w:t>
      </w:r>
    </w:p>
    <w:p>
      <w:pPr>
        <w:spacing w:line="576" w:lineRule="exact"/>
        <w:jc w:val="center"/>
        <w:rPr>
          <w:rFonts w:eastAsia="楷体_GB2312"/>
          <w:color w:val="000000"/>
          <w:sz w:val="28"/>
          <w:szCs w:val="28"/>
        </w:rPr>
      </w:pPr>
    </w:p>
    <w:p>
      <w:pPr>
        <w:spacing w:line="576" w:lineRule="exact"/>
        <w:ind w:firstLine="640" w:firstLineChars="200"/>
        <w:rPr>
          <w:color w:val="000000"/>
        </w:rPr>
      </w:pPr>
      <w:r>
        <w:rPr>
          <w:rFonts w:hAnsi="仿宋_GB2312"/>
          <w:color w:val="000000"/>
        </w:rPr>
        <w:t>创建湖北省公共文化服务体系示范区是省委、省政府关于构建现代公共文化服务体系的重要决策部署，是推进全省现代公共文化服务体系建设的重要举措。按照省文化和旅游厅、省财政厅工作安排，</w:t>
      </w:r>
      <w:r>
        <w:rPr>
          <w:color w:val="000000"/>
        </w:rPr>
        <w:t>2021</w:t>
      </w:r>
      <w:r>
        <w:rPr>
          <w:rFonts w:hAnsi="仿宋_GB2312"/>
          <w:color w:val="000000"/>
        </w:rPr>
        <w:t>年至</w:t>
      </w:r>
      <w:r>
        <w:rPr>
          <w:color w:val="000000"/>
        </w:rPr>
        <w:t>2023</w:t>
      </w:r>
      <w:r>
        <w:rPr>
          <w:rFonts w:hAnsi="仿宋_GB2312"/>
          <w:color w:val="000000"/>
        </w:rPr>
        <w:t>年开展第四批湖北省公共文化服务体系示范区创建，具体申报方案如下：</w:t>
      </w:r>
    </w:p>
    <w:p>
      <w:pPr>
        <w:spacing w:line="576" w:lineRule="exact"/>
        <w:ind w:firstLine="640" w:firstLineChars="200"/>
        <w:rPr>
          <w:rFonts w:eastAsia="黑体"/>
          <w:color w:val="000000"/>
        </w:rPr>
      </w:pPr>
      <w:r>
        <w:rPr>
          <w:rFonts w:hAnsi="黑体" w:eastAsia="黑体"/>
          <w:color w:val="000000"/>
        </w:rPr>
        <w:t>一、申报条件</w:t>
      </w:r>
    </w:p>
    <w:p>
      <w:pPr>
        <w:spacing w:line="576" w:lineRule="exact"/>
        <w:ind w:firstLine="643" w:firstLineChars="200"/>
        <w:rPr>
          <w:rFonts w:eastAsia="楷体_GB2312"/>
          <w:b/>
          <w:bCs/>
          <w:color w:val="000000"/>
        </w:rPr>
      </w:pPr>
      <w:r>
        <w:rPr>
          <w:rFonts w:eastAsia="楷体_GB2312"/>
          <w:b/>
          <w:bCs/>
          <w:color w:val="000000"/>
        </w:rPr>
        <w:t>（一）申报主体</w:t>
      </w:r>
    </w:p>
    <w:p>
      <w:pPr>
        <w:spacing w:line="576" w:lineRule="exact"/>
        <w:ind w:firstLine="640" w:firstLineChars="200"/>
        <w:rPr>
          <w:color w:val="000000"/>
        </w:rPr>
      </w:pPr>
      <w:r>
        <w:rPr>
          <w:color w:val="000000"/>
        </w:rPr>
        <w:t>县（市、区）人民政府</w:t>
      </w:r>
    </w:p>
    <w:p>
      <w:pPr>
        <w:spacing w:line="576" w:lineRule="exact"/>
        <w:ind w:firstLine="643" w:firstLineChars="200"/>
        <w:rPr>
          <w:rFonts w:eastAsia="楷体_GB2312"/>
          <w:b/>
          <w:bCs/>
          <w:color w:val="000000"/>
        </w:rPr>
      </w:pPr>
      <w:r>
        <w:rPr>
          <w:rFonts w:eastAsia="楷体_GB2312"/>
          <w:b/>
          <w:bCs/>
          <w:color w:val="000000"/>
        </w:rPr>
        <w:t>（二）申报条件</w:t>
      </w:r>
    </w:p>
    <w:p>
      <w:pPr>
        <w:spacing w:line="576" w:lineRule="exact"/>
        <w:ind w:firstLine="640" w:firstLineChars="200"/>
        <w:rPr>
          <w:color w:val="000000"/>
        </w:rPr>
      </w:pPr>
      <w:r>
        <w:rPr>
          <w:rFonts w:hAnsi="仿宋_GB2312"/>
          <w:color w:val="000000"/>
        </w:rPr>
        <w:t>地方政府积极性高；公共文化服务体系建设取得突出成绩；公共文化服务体系制度设计研究取得一定成果；文化和旅游公共服务融合发展取得一定成效；在全省产生较大影响，具有较强的综合示范带动作用。</w:t>
      </w:r>
    </w:p>
    <w:p>
      <w:pPr>
        <w:spacing w:line="576" w:lineRule="exact"/>
        <w:ind w:firstLine="640" w:firstLineChars="200"/>
        <w:rPr>
          <w:rFonts w:eastAsia="黑体"/>
          <w:color w:val="000000"/>
        </w:rPr>
      </w:pPr>
      <w:r>
        <w:rPr>
          <w:rFonts w:hAnsi="黑体" w:eastAsia="黑体"/>
          <w:color w:val="000000"/>
        </w:rPr>
        <w:t>二、创建标准</w:t>
      </w:r>
    </w:p>
    <w:p>
      <w:pPr>
        <w:spacing w:line="576" w:lineRule="exact"/>
        <w:ind w:firstLine="640" w:firstLineChars="200"/>
        <w:rPr>
          <w:color w:val="000000"/>
        </w:rPr>
      </w:pPr>
      <w:r>
        <w:rPr>
          <w:rFonts w:hAnsi="仿宋_GB2312"/>
          <w:color w:val="000000"/>
        </w:rPr>
        <w:t>按照《中华人民共和国公共文化服务保障法》《中共中央关于全面深化改革若干重大问题的决定》《中共中央关于深化文化体制改革推动社会主义文化大发展大繁荣若干重大问题的决定》《中共中央办公厅国务院办公厅关于加快构建现代公共文化服务体系的意见》及我省相关文件精神，依据国家文化改革发展和公共文化服务体系建设系列规划，以及公共图书馆、文化馆（中心）等公共文化设施建设标准、用地指标、评估定级标准等，制定具体创建标准，并确定验收标准。</w:t>
      </w:r>
    </w:p>
    <w:p>
      <w:pPr>
        <w:spacing w:line="576" w:lineRule="exact"/>
        <w:ind w:firstLine="640" w:firstLineChars="200"/>
        <w:rPr>
          <w:rFonts w:eastAsia="黑体"/>
          <w:color w:val="000000"/>
        </w:rPr>
      </w:pPr>
      <w:r>
        <w:rPr>
          <w:rFonts w:hAnsi="黑体" w:eastAsia="黑体"/>
          <w:color w:val="000000"/>
        </w:rPr>
        <w:t>三、创建周期</w:t>
      </w:r>
    </w:p>
    <w:p>
      <w:pPr>
        <w:spacing w:line="576" w:lineRule="exact"/>
        <w:ind w:firstLine="640" w:firstLineChars="200"/>
        <w:rPr>
          <w:color w:val="000000"/>
        </w:rPr>
      </w:pPr>
      <w:r>
        <w:rPr>
          <w:color w:val="000000"/>
        </w:rPr>
        <w:t>创建周期为2年。2021年至2023年期间，进行第四批省级示范区申报、创建、中期督查、验收工作，验收合格，命名为湖北省公共文化服务体系示范区并颁牌。</w:t>
      </w:r>
    </w:p>
    <w:p>
      <w:pPr>
        <w:spacing w:line="576" w:lineRule="exact"/>
        <w:ind w:firstLine="640" w:firstLineChars="200"/>
        <w:rPr>
          <w:rFonts w:eastAsia="黑体"/>
          <w:color w:val="000000"/>
        </w:rPr>
      </w:pPr>
      <w:r>
        <w:rPr>
          <w:rFonts w:hAnsi="黑体" w:eastAsia="黑体"/>
          <w:color w:val="000000"/>
        </w:rPr>
        <w:t>四、评定程序</w:t>
      </w:r>
    </w:p>
    <w:p>
      <w:pPr>
        <w:spacing w:line="576" w:lineRule="exact"/>
        <w:ind w:firstLine="640" w:firstLineChars="200"/>
        <w:rPr>
          <w:color w:val="000000"/>
        </w:rPr>
      </w:pPr>
      <w:r>
        <w:rPr>
          <w:color w:val="000000"/>
        </w:rPr>
        <w:t>创建示范区评定采取县（市、区）人民政府主动申报的办法，经市州文化和旅游、财政主管部门审核，并报市州人民政府同意后上报。经湖北省文旅公共服务专家委员会评审，由省文化和旅游厅、省财政厅报省政府批准后公布。</w:t>
      </w:r>
    </w:p>
    <w:p>
      <w:pPr>
        <w:spacing w:line="576" w:lineRule="exact"/>
        <w:ind w:firstLine="643" w:firstLineChars="200"/>
        <w:rPr>
          <w:color w:val="000000"/>
        </w:rPr>
      </w:pPr>
      <w:r>
        <w:rPr>
          <w:rFonts w:eastAsia="楷体_GB2312"/>
          <w:b/>
          <w:bCs/>
          <w:color w:val="000000"/>
        </w:rPr>
        <w:t>（一）逐级申报。</w:t>
      </w:r>
      <w:r>
        <w:rPr>
          <w:color w:val="000000"/>
        </w:rPr>
        <w:t>根据创建示范区申报条件，参照《第四批湖北省公共文化服务体系示范区创建标准》，采取逐级上报的方式申报创建示范区。</w:t>
      </w:r>
    </w:p>
    <w:p>
      <w:pPr>
        <w:spacing w:line="576" w:lineRule="exact"/>
        <w:ind w:firstLine="643" w:firstLineChars="200"/>
        <w:rPr>
          <w:color w:val="000000"/>
        </w:rPr>
      </w:pPr>
      <w:r>
        <w:rPr>
          <w:rFonts w:eastAsia="楷体_GB2312"/>
          <w:b/>
          <w:bCs/>
          <w:color w:val="000000"/>
        </w:rPr>
        <w:t>（二）资格评审。</w:t>
      </w:r>
      <w:r>
        <w:rPr>
          <w:color w:val="000000"/>
        </w:rPr>
        <w:t>省文化和旅游厅组织专家委员会和专家库专家对各地申报创建示范区进行论证和评审，提出创建资格建议名单。</w:t>
      </w:r>
    </w:p>
    <w:p>
      <w:pPr>
        <w:spacing w:line="576" w:lineRule="exact"/>
        <w:ind w:firstLine="643" w:firstLineChars="200"/>
        <w:rPr>
          <w:color w:val="000000"/>
        </w:rPr>
      </w:pPr>
      <w:r>
        <w:rPr>
          <w:rFonts w:eastAsia="楷体_GB2312"/>
          <w:b/>
          <w:bCs/>
          <w:color w:val="000000"/>
        </w:rPr>
        <w:t>（三）资格确定。</w:t>
      </w:r>
      <w:r>
        <w:rPr>
          <w:color w:val="000000"/>
        </w:rPr>
        <w:t>省文化和旅游厅、省财政厅根据评审结果，考虑区域、结构、代表性等综合因素，提出第四批湖北省公共文化服务体系示范区创建资格名单并公示。根据公示结果报省政府批准确定创建示范区正式名单。</w:t>
      </w:r>
    </w:p>
    <w:p>
      <w:pPr>
        <w:spacing w:line="576" w:lineRule="exact"/>
        <w:ind w:firstLine="643" w:firstLineChars="200"/>
        <w:rPr>
          <w:color w:val="000000"/>
        </w:rPr>
      </w:pPr>
      <w:r>
        <w:rPr>
          <w:rFonts w:eastAsia="楷体_GB2312"/>
          <w:b/>
          <w:bCs/>
          <w:color w:val="000000"/>
        </w:rPr>
        <w:t>（四）验收和公示。</w:t>
      </w:r>
      <w:r>
        <w:rPr>
          <w:color w:val="000000"/>
        </w:rPr>
        <w:t>在创建中期进行督查的基础上，创建周期结束后，省文化和旅游厅、省财政厅组织专家委员会和专家库专家，按照省级示范区验收办法和标准进行检查验收。对验收合格名单进行公示。验收不合格的限期整改，整改仍未到位的取消命名和授牌资格。</w:t>
      </w:r>
    </w:p>
    <w:p>
      <w:pPr>
        <w:spacing w:line="576" w:lineRule="exact"/>
        <w:ind w:firstLine="643" w:firstLineChars="200"/>
        <w:rPr>
          <w:color w:val="000000"/>
        </w:rPr>
      </w:pPr>
      <w:r>
        <w:rPr>
          <w:rFonts w:eastAsia="楷体_GB2312"/>
          <w:b/>
          <w:bCs/>
          <w:color w:val="000000"/>
        </w:rPr>
        <w:t>（五）命名和授牌。</w:t>
      </w:r>
      <w:r>
        <w:rPr>
          <w:color w:val="000000"/>
        </w:rPr>
        <w:t>通过验收和公示的创建示范区，经省文化和旅游厅、省财政厅报省政府批准同意，命名为“湖北省公共文化服务体系示范区”并授牌。</w:t>
      </w:r>
    </w:p>
    <w:p>
      <w:pPr>
        <w:spacing w:line="576" w:lineRule="exact"/>
        <w:ind w:firstLine="643" w:firstLineChars="200"/>
        <w:rPr>
          <w:color w:val="000000"/>
        </w:rPr>
      </w:pPr>
      <w:r>
        <w:rPr>
          <w:rFonts w:eastAsia="楷体_GB2312"/>
          <w:b/>
          <w:bCs/>
          <w:color w:val="000000"/>
        </w:rPr>
        <w:t>（六）建立动态管理机制。</w:t>
      </w:r>
      <w:r>
        <w:rPr>
          <w:color w:val="000000"/>
        </w:rPr>
        <w:t>省文化和旅游厅、省财政厅按照修订的创建和验收标准，定期对省级示范区进行复查，对后续工作不力、有明显退步、限期整改达不到要求的示范区，予以摘牌，撤消其示范区荣誉。</w:t>
      </w:r>
    </w:p>
    <w:p>
      <w:pPr>
        <w:spacing w:line="576" w:lineRule="exact"/>
        <w:ind w:firstLine="640" w:firstLineChars="200"/>
        <w:rPr>
          <w:rFonts w:eastAsia="黑体"/>
          <w:color w:val="000000"/>
        </w:rPr>
      </w:pPr>
      <w:r>
        <w:rPr>
          <w:rFonts w:hAnsi="黑体" w:eastAsia="黑体"/>
          <w:color w:val="000000"/>
        </w:rPr>
        <w:t>五、相关要求</w:t>
      </w:r>
    </w:p>
    <w:p>
      <w:pPr>
        <w:spacing w:line="576" w:lineRule="exact"/>
        <w:ind w:firstLine="643" w:firstLineChars="200"/>
        <w:rPr>
          <w:rFonts w:eastAsia="楷体_GB2312"/>
          <w:b/>
          <w:bCs/>
          <w:color w:val="000000"/>
        </w:rPr>
      </w:pPr>
      <w:r>
        <w:rPr>
          <w:rFonts w:eastAsia="楷体_GB2312"/>
          <w:b/>
          <w:bCs/>
          <w:color w:val="000000"/>
        </w:rPr>
        <w:t>（一）时间安排</w:t>
      </w:r>
    </w:p>
    <w:p>
      <w:pPr>
        <w:spacing w:line="576" w:lineRule="exact"/>
        <w:ind w:firstLine="640" w:firstLineChars="200"/>
        <w:rPr>
          <w:color w:val="000000"/>
          <w:kern w:val="0"/>
        </w:rPr>
      </w:pPr>
      <w:r>
        <w:rPr>
          <w:color w:val="000000"/>
          <w:kern w:val="0"/>
        </w:rPr>
        <w:t xml:space="preserve">第四批省级示范区创建申报工作自本通知下发之日启动，初评材料受理于2020年12月22日结束，逾期将视为主动放弃申报，不再受理。     </w:t>
      </w:r>
    </w:p>
    <w:p>
      <w:pPr>
        <w:spacing w:line="576" w:lineRule="exact"/>
        <w:ind w:firstLine="640" w:firstLineChars="200"/>
        <w:rPr>
          <w:color w:val="000000"/>
          <w:kern w:val="0"/>
        </w:rPr>
      </w:pPr>
      <w:r>
        <w:rPr>
          <w:color w:val="000000"/>
          <w:kern w:val="0"/>
        </w:rPr>
        <w:t>1.2020年12月底组织初评；</w:t>
      </w:r>
    </w:p>
    <w:p>
      <w:pPr>
        <w:spacing w:line="576" w:lineRule="exact"/>
        <w:ind w:firstLine="640" w:firstLineChars="200"/>
        <w:rPr>
          <w:color w:val="000000"/>
          <w:kern w:val="0"/>
        </w:rPr>
      </w:pPr>
      <w:r>
        <w:rPr>
          <w:color w:val="000000"/>
          <w:kern w:val="0"/>
        </w:rPr>
        <w:t>2.2020年2月对申报资料进行评审；</w:t>
      </w:r>
    </w:p>
    <w:p>
      <w:pPr>
        <w:spacing w:line="576" w:lineRule="exact"/>
        <w:ind w:firstLine="640" w:firstLineChars="200"/>
        <w:rPr>
          <w:color w:val="000000"/>
          <w:kern w:val="0"/>
        </w:rPr>
      </w:pPr>
      <w:r>
        <w:rPr>
          <w:color w:val="000000"/>
          <w:kern w:val="0"/>
        </w:rPr>
        <w:t>3.省文化和旅游厅、省财政厅根据2次评审情况确定第四批省级公共文化服务体系示范区创建单位。</w:t>
      </w:r>
    </w:p>
    <w:p>
      <w:pPr>
        <w:spacing w:line="576" w:lineRule="exact"/>
        <w:ind w:firstLine="643" w:firstLineChars="200"/>
        <w:rPr>
          <w:rFonts w:eastAsia="楷体_GB2312"/>
          <w:b/>
          <w:bCs/>
          <w:color w:val="000000"/>
        </w:rPr>
      </w:pPr>
      <w:r>
        <w:rPr>
          <w:rFonts w:eastAsia="楷体_GB2312"/>
          <w:b/>
          <w:bCs/>
          <w:color w:val="000000"/>
        </w:rPr>
        <w:t>（二）申报名额</w:t>
      </w:r>
    </w:p>
    <w:p>
      <w:pPr>
        <w:spacing w:line="576" w:lineRule="exact"/>
        <w:ind w:firstLine="640" w:firstLineChars="200"/>
        <w:rPr>
          <w:color w:val="000000"/>
        </w:rPr>
      </w:pPr>
      <w:r>
        <w:rPr>
          <w:color w:val="000000"/>
        </w:rPr>
        <w:t>原则上，每个市州申报创建示范区候选名额不超过2个，申报材料经示范区创建领导小组办公室和专家委员会审核不符合要求的不能参加评审。</w:t>
      </w:r>
    </w:p>
    <w:p>
      <w:pPr>
        <w:spacing w:line="576" w:lineRule="exact"/>
        <w:ind w:firstLine="643" w:firstLineChars="200"/>
        <w:rPr>
          <w:rFonts w:eastAsia="楷体_GB2312"/>
          <w:b/>
          <w:bCs/>
          <w:color w:val="000000"/>
        </w:rPr>
      </w:pPr>
      <w:r>
        <w:rPr>
          <w:rFonts w:eastAsia="楷体_GB2312"/>
          <w:b/>
          <w:bCs/>
          <w:color w:val="000000"/>
        </w:rPr>
        <w:t>（三）所需材料</w:t>
      </w:r>
    </w:p>
    <w:p>
      <w:pPr>
        <w:spacing w:line="576" w:lineRule="exact"/>
        <w:ind w:firstLine="640" w:firstLineChars="200"/>
        <w:rPr>
          <w:color w:val="000000"/>
          <w:kern w:val="0"/>
        </w:rPr>
      </w:pPr>
      <w:r>
        <w:rPr>
          <w:color w:val="000000"/>
          <w:kern w:val="0"/>
        </w:rPr>
        <w:t>各创建示范区申报单位需报送以下材料：</w:t>
      </w:r>
    </w:p>
    <w:p>
      <w:pPr>
        <w:spacing w:line="576" w:lineRule="exact"/>
        <w:ind w:firstLine="640" w:firstLineChars="200"/>
        <w:rPr>
          <w:color w:val="000000"/>
        </w:rPr>
      </w:pPr>
      <w:r>
        <w:rPr>
          <w:color w:val="000000"/>
        </w:rPr>
        <w:t>1.所在市（州）人民政府关于申报创建省级公共文化服务体系示范区的推荐函；</w:t>
      </w:r>
    </w:p>
    <w:p>
      <w:pPr>
        <w:spacing w:line="576" w:lineRule="exact"/>
        <w:ind w:firstLine="640" w:firstLineChars="200"/>
        <w:rPr>
          <w:color w:val="000000"/>
        </w:rPr>
      </w:pPr>
      <w:r>
        <w:rPr>
          <w:color w:val="000000"/>
        </w:rPr>
        <w:t>2.创建省级公共文化服务体系示范区申报书（包含至少2个示范项目）；</w:t>
      </w:r>
    </w:p>
    <w:p>
      <w:pPr>
        <w:spacing w:line="576" w:lineRule="exact"/>
        <w:ind w:firstLine="640" w:firstLineChars="200"/>
        <w:rPr>
          <w:color w:val="000000"/>
        </w:rPr>
      </w:pPr>
      <w:r>
        <w:rPr>
          <w:color w:val="000000"/>
        </w:rPr>
        <w:t>3.创建省级公共文化服务体系示范区建设规划；</w:t>
      </w:r>
    </w:p>
    <w:p>
      <w:pPr>
        <w:spacing w:line="576" w:lineRule="exact"/>
        <w:ind w:firstLine="640" w:firstLineChars="200"/>
        <w:rPr>
          <w:color w:val="000000"/>
          <w:kern w:val="0"/>
        </w:rPr>
      </w:pPr>
      <w:r>
        <w:rPr>
          <w:color w:val="000000"/>
          <w:kern w:val="0"/>
        </w:rPr>
        <w:t>4.公共文化服务体系制度设计研究方案；</w:t>
      </w:r>
    </w:p>
    <w:p>
      <w:pPr>
        <w:spacing w:line="576" w:lineRule="exact"/>
        <w:ind w:firstLine="640" w:firstLineChars="200"/>
        <w:rPr>
          <w:color w:val="000000"/>
          <w:kern w:val="0"/>
        </w:rPr>
      </w:pPr>
      <w:r>
        <w:rPr>
          <w:color w:val="000000"/>
          <w:kern w:val="0"/>
        </w:rPr>
        <w:t>5.介绍申报创建示范区情况的PPT或视频资料（15分钟以内）；</w:t>
      </w:r>
    </w:p>
    <w:p>
      <w:pPr>
        <w:spacing w:line="576" w:lineRule="exact"/>
        <w:ind w:firstLine="640" w:firstLineChars="200"/>
        <w:rPr>
          <w:color w:val="000000"/>
          <w:kern w:val="0"/>
        </w:rPr>
      </w:pPr>
      <w:r>
        <w:rPr>
          <w:color w:val="000000"/>
          <w:kern w:val="0"/>
        </w:rPr>
        <w:t>以上申报材料纸质件连同电子版光盘各一式十份报送省文化和旅游厅公共服务处。</w:t>
      </w:r>
    </w:p>
    <w:p>
      <w:pPr>
        <w:autoSpaceDN w:val="0"/>
        <w:spacing w:line="560" w:lineRule="exact"/>
        <w:rPr>
          <w:color w:val="000000"/>
        </w:rPr>
      </w:pPr>
      <w:r>
        <w:rPr>
          <w:color w:val="000000"/>
          <w:sz w:val="24"/>
        </w:rPr>
        <w:br w:type="page"/>
      </w:r>
      <w:r>
        <w:rPr>
          <w:rFonts w:eastAsia="黑体"/>
          <w:color w:val="000000"/>
        </w:rPr>
        <w:t>附件4</w:t>
      </w:r>
    </w:p>
    <w:p>
      <w:pPr>
        <w:autoSpaceDN w:val="0"/>
        <w:spacing w:line="560" w:lineRule="exact"/>
        <w:jc w:val="center"/>
        <w:rPr>
          <w:rFonts w:hint="eastAsia" w:eastAsia="方正小标宋简体"/>
          <w:color w:val="000000"/>
          <w:sz w:val="52"/>
        </w:rPr>
      </w:pPr>
    </w:p>
    <w:p>
      <w:pPr>
        <w:autoSpaceDN w:val="0"/>
        <w:spacing w:line="560" w:lineRule="exact"/>
        <w:jc w:val="center"/>
        <w:rPr>
          <w:rFonts w:hint="eastAsia" w:eastAsia="方正小标宋简体"/>
          <w:color w:val="000000"/>
          <w:sz w:val="52"/>
        </w:rPr>
      </w:pPr>
    </w:p>
    <w:p>
      <w:pPr>
        <w:autoSpaceDN w:val="0"/>
        <w:spacing w:line="560" w:lineRule="exact"/>
        <w:jc w:val="center"/>
        <w:rPr>
          <w:rFonts w:eastAsia="方正小标宋简体"/>
          <w:color w:val="000000"/>
          <w:sz w:val="52"/>
        </w:rPr>
      </w:pPr>
    </w:p>
    <w:p>
      <w:pPr>
        <w:autoSpaceDN w:val="0"/>
        <w:spacing w:line="560" w:lineRule="exact"/>
        <w:jc w:val="center"/>
        <w:rPr>
          <w:rFonts w:eastAsia="方正小标宋简体"/>
          <w:color w:val="000000"/>
        </w:rPr>
      </w:pPr>
      <w:r>
        <w:rPr>
          <w:rFonts w:eastAsia="方正小标宋简体"/>
          <w:color w:val="000000"/>
          <w:sz w:val="52"/>
        </w:rPr>
        <w:t>创建湖北省公共文化服务体系示范区</w:t>
      </w:r>
    </w:p>
    <w:p>
      <w:pPr>
        <w:autoSpaceDN w:val="0"/>
        <w:spacing w:line="560" w:lineRule="exact"/>
        <w:jc w:val="center"/>
        <w:rPr>
          <w:rFonts w:eastAsia="方正小标宋简体"/>
          <w:color w:val="000000"/>
        </w:rPr>
      </w:pPr>
      <w:r>
        <w:rPr>
          <w:rFonts w:eastAsia="方正小标宋简体"/>
          <w:color w:val="000000"/>
          <w:sz w:val="52"/>
        </w:rPr>
        <w:t>申  报  书</w:t>
      </w:r>
    </w:p>
    <w:p>
      <w:pPr>
        <w:autoSpaceDN w:val="0"/>
        <w:spacing w:line="560" w:lineRule="exact"/>
        <w:ind w:firstLine="473"/>
        <w:rPr>
          <w:color w:val="000000"/>
        </w:rPr>
      </w:pPr>
    </w:p>
    <w:p>
      <w:pPr>
        <w:autoSpaceDN w:val="0"/>
        <w:spacing w:line="560" w:lineRule="exact"/>
        <w:ind w:firstLine="473"/>
        <w:rPr>
          <w:color w:val="000000"/>
        </w:rPr>
      </w:pPr>
    </w:p>
    <w:p>
      <w:pPr>
        <w:autoSpaceDN w:val="0"/>
        <w:spacing w:line="560" w:lineRule="exact"/>
        <w:ind w:firstLine="473"/>
        <w:rPr>
          <w:color w:val="000000"/>
        </w:rPr>
      </w:pPr>
    </w:p>
    <w:p>
      <w:pPr>
        <w:autoSpaceDN w:val="0"/>
        <w:spacing w:line="560" w:lineRule="exact"/>
        <w:ind w:firstLine="473"/>
        <w:rPr>
          <w:color w:val="000000"/>
        </w:rPr>
      </w:pPr>
    </w:p>
    <w:p>
      <w:pPr>
        <w:autoSpaceDN w:val="0"/>
        <w:spacing w:line="560" w:lineRule="exact"/>
        <w:ind w:firstLine="473"/>
        <w:rPr>
          <w:color w:val="000000"/>
        </w:rPr>
      </w:pPr>
    </w:p>
    <w:p>
      <w:pPr>
        <w:autoSpaceDN w:val="0"/>
        <w:spacing w:line="560" w:lineRule="exact"/>
        <w:ind w:firstLine="473"/>
        <w:rPr>
          <w:color w:val="000000"/>
        </w:rPr>
      </w:pPr>
      <w:r>
        <w:rPr>
          <w:b/>
          <w:color w:val="000000"/>
        </w:rPr>
        <w:t>申报地区：</w:t>
      </w:r>
      <w:r>
        <w:rPr>
          <w:b/>
          <w:color w:val="000000"/>
          <w:u w:val="single"/>
        </w:rPr>
        <w:t xml:space="preserve">                                </w:t>
      </w:r>
    </w:p>
    <w:p>
      <w:pPr>
        <w:autoSpaceDN w:val="0"/>
        <w:spacing w:line="560" w:lineRule="exact"/>
        <w:ind w:firstLine="473"/>
        <w:rPr>
          <w:color w:val="000000"/>
        </w:rPr>
      </w:pPr>
    </w:p>
    <w:p>
      <w:pPr>
        <w:autoSpaceDN w:val="0"/>
        <w:spacing w:line="560" w:lineRule="exact"/>
        <w:ind w:firstLine="473"/>
        <w:rPr>
          <w:color w:val="000000"/>
        </w:rPr>
      </w:pPr>
    </w:p>
    <w:p>
      <w:pPr>
        <w:autoSpaceDN w:val="0"/>
        <w:spacing w:line="560" w:lineRule="exact"/>
        <w:ind w:firstLine="473"/>
        <w:rPr>
          <w:color w:val="000000"/>
        </w:rPr>
      </w:pPr>
      <w:r>
        <w:rPr>
          <w:b/>
          <w:color w:val="000000"/>
        </w:rPr>
        <w:t>填报时间：</w:t>
      </w:r>
      <w:r>
        <w:rPr>
          <w:b/>
          <w:color w:val="000000"/>
          <w:u w:val="single"/>
        </w:rPr>
        <w:t xml:space="preserve">                                </w:t>
      </w:r>
    </w:p>
    <w:p>
      <w:pPr>
        <w:autoSpaceDN w:val="0"/>
        <w:spacing w:line="560" w:lineRule="exact"/>
        <w:rPr>
          <w:color w:val="000000"/>
        </w:rPr>
      </w:pPr>
    </w:p>
    <w:p>
      <w:pPr>
        <w:autoSpaceDN w:val="0"/>
        <w:spacing w:line="560" w:lineRule="exact"/>
        <w:jc w:val="center"/>
        <w:rPr>
          <w:color w:val="000000"/>
        </w:rPr>
      </w:pPr>
    </w:p>
    <w:p>
      <w:pPr>
        <w:autoSpaceDN w:val="0"/>
        <w:spacing w:line="560" w:lineRule="exact"/>
        <w:jc w:val="center"/>
        <w:rPr>
          <w:rFonts w:hint="eastAsia"/>
          <w:color w:val="000000"/>
        </w:rPr>
      </w:pPr>
    </w:p>
    <w:p>
      <w:pPr>
        <w:autoSpaceDN w:val="0"/>
        <w:spacing w:line="560" w:lineRule="exact"/>
        <w:jc w:val="center"/>
        <w:rPr>
          <w:color w:val="000000"/>
        </w:rPr>
      </w:pPr>
    </w:p>
    <w:p>
      <w:pPr>
        <w:autoSpaceDN w:val="0"/>
        <w:spacing w:line="560" w:lineRule="exact"/>
        <w:jc w:val="center"/>
        <w:rPr>
          <w:color w:val="000000"/>
        </w:rPr>
      </w:pPr>
    </w:p>
    <w:p>
      <w:pPr>
        <w:autoSpaceDN w:val="0"/>
        <w:spacing w:line="560" w:lineRule="exact"/>
        <w:jc w:val="center"/>
        <w:rPr>
          <w:color w:val="000000"/>
        </w:rPr>
      </w:pPr>
      <w:r>
        <w:rPr>
          <w:color w:val="000000"/>
        </w:rPr>
        <w:t>湖北省文化和旅游厅、湖北省财政厅制</w:t>
      </w:r>
    </w:p>
    <w:p>
      <w:pPr>
        <w:autoSpaceDN w:val="0"/>
        <w:spacing w:line="560" w:lineRule="exact"/>
        <w:jc w:val="center"/>
        <w:rPr>
          <w:rFonts w:eastAsia="黑体"/>
          <w:color w:val="000000"/>
          <w:sz w:val="44"/>
          <w:szCs w:val="44"/>
        </w:rPr>
      </w:pPr>
      <w:r>
        <w:rPr>
          <w:rFonts w:eastAsia="黑体"/>
          <w:color w:val="000000"/>
          <w:sz w:val="44"/>
          <w:szCs w:val="44"/>
        </w:rPr>
        <w:br w:type="page"/>
      </w:r>
    </w:p>
    <w:p>
      <w:pPr>
        <w:autoSpaceDN w:val="0"/>
        <w:spacing w:line="560" w:lineRule="exact"/>
        <w:jc w:val="center"/>
        <w:rPr>
          <w:rFonts w:eastAsia="黑体"/>
          <w:color w:val="000000"/>
          <w:sz w:val="44"/>
          <w:szCs w:val="44"/>
        </w:rPr>
      </w:pPr>
      <w:r>
        <w:rPr>
          <w:rFonts w:eastAsia="黑体"/>
          <w:color w:val="000000"/>
          <w:sz w:val="44"/>
          <w:szCs w:val="44"/>
        </w:rPr>
        <w:t>填 写 说 明</w:t>
      </w:r>
    </w:p>
    <w:p>
      <w:pPr>
        <w:autoSpaceDN w:val="0"/>
        <w:spacing w:line="560" w:lineRule="exact"/>
        <w:ind w:firstLine="640" w:firstLineChars="200"/>
        <w:rPr>
          <w:color w:val="000000"/>
        </w:rPr>
      </w:pPr>
    </w:p>
    <w:p>
      <w:pPr>
        <w:autoSpaceDN w:val="0"/>
        <w:spacing w:line="560" w:lineRule="exact"/>
        <w:ind w:firstLine="640" w:firstLineChars="200"/>
        <w:rPr>
          <w:color w:val="000000"/>
        </w:rPr>
      </w:pPr>
      <w:r>
        <w:rPr>
          <w:color w:val="000000"/>
        </w:rPr>
        <w:t>一、第1项“创建示范区负责人”应填写当地党委或政府的主要领导；“创建示范区管理机构”应填写当地创建示范区领导小组办公室或文化和旅游行政部门；“创建示范区管理机构负责人”应填写当地创建示范区领导小组办公室或文化行政部门主要领导。</w:t>
      </w:r>
    </w:p>
    <w:p>
      <w:pPr>
        <w:autoSpaceDN w:val="0"/>
        <w:spacing w:line="560" w:lineRule="exact"/>
        <w:ind w:firstLine="640" w:firstLineChars="200"/>
        <w:rPr>
          <w:color w:val="000000"/>
        </w:rPr>
      </w:pPr>
      <w:r>
        <w:rPr>
          <w:color w:val="000000"/>
        </w:rPr>
        <w:t>二、第2项“有关工作成绩”包括申报创建示范区所在地在公共文化服务体系建设上取得的由市州级以上部门命名的“先进单位”、“试点单位”等称号；召开过省级以上会议进行典型经验宣传推广，或在市州级以上会议做过典型经验发言等方面内容。</w:t>
      </w:r>
    </w:p>
    <w:p>
      <w:pPr>
        <w:autoSpaceDN w:val="0"/>
        <w:spacing w:line="560" w:lineRule="exact"/>
        <w:ind w:firstLine="640" w:firstLineChars="200"/>
        <w:rPr>
          <w:color w:val="000000"/>
        </w:rPr>
      </w:pPr>
      <w:r>
        <w:rPr>
          <w:color w:val="000000"/>
        </w:rPr>
        <w:t>三、第3项“申报理由”主要填写申报地区近年来开展公共文化服务体系建设的基本情况、取得的基本经验和做法特点、相关政策及保障措施和下一步开展公共文化服务体系建设的主要思路及政策保障措施等。同时要申报至少2个公共文化服务体系示范项目（可包含1个文旅融合项目）。</w:t>
      </w:r>
    </w:p>
    <w:p>
      <w:pPr>
        <w:autoSpaceDN w:val="0"/>
        <w:spacing w:line="560" w:lineRule="exact"/>
        <w:ind w:firstLine="640" w:firstLineChars="200"/>
        <w:rPr>
          <w:color w:val="000000"/>
        </w:rPr>
      </w:pPr>
      <w:r>
        <w:rPr>
          <w:color w:val="000000"/>
        </w:rPr>
        <w:t>四、</w:t>
      </w:r>
      <w:r>
        <w:rPr>
          <w:color w:val="000000"/>
          <w:spacing w:val="-4"/>
        </w:rPr>
        <w:t>第5项“市州文化局、财政局推荐意见”应写明申报地区在本市州范围内与同类地区比较，其主要特色及是否具有示范性。</w:t>
      </w:r>
    </w:p>
    <w:p>
      <w:pPr>
        <w:autoSpaceDN w:val="0"/>
        <w:spacing w:line="560" w:lineRule="exact"/>
        <w:ind w:firstLine="640" w:firstLineChars="200"/>
        <w:rPr>
          <w:color w:val="000000"/>
        </w:rPr>
      </w:pPr>
      <w:r>
        <w:rPr>
          <w:color w:val="000000"/>
        </w:rPr>
        <w:t>五、第7项由示范区创建工作领导小组办公室组织湖北省文旅公共服务专家委员会填写。</w:t>
      </w:r>
    </w:p>
    <w:p>
      <w:pPr>
        <w:autoSpaceDN w:val="0"/>
        <w:spacing w:line="560" w:lineRule="exact"/>
        <w:ind w:firstLine="624" w:firstLineChars="200"/>
        <w:rPr>
          <w:color w:val="000000"/>
          <w:spacing w:val="-4"/>
        </w:rPr>
      </w:pPr>
      <w:r>
        <w:rPr>
          <w:color w:val="000000"/>
          <w:spacing w:val="-4"/>
        </w:rPr>
        <w:t>六、此申报书可在省文化和旅游厅门户网站通知公告栏（http://wlt.hubei.gov.cn/）下载，表格各项栏目可根据内容自由扩展版面。本表一式十份，盖章后送省文化和旅游厅公共服务处。</w:t>
      </w:r>
    </w:p>
    <w:p>
      <w:pPr>
        <w:autoSpaceDN w:val="0"/>
        <w:spacing w:line="560" w:lineRule="exact"/>
        <w:ind w:firstLine="640" w:firstLineChars="200"/>
        <w:rPr>
          <w:color w:val="000000"/>
        </w:rPr>
      </w:pPr>
      <w:r>
        <w:rPr>
          <w:color w:val="000000"/>
        </w:rPr>
        <w:t>七、表格一律用电脑填写，准确无误，不得弄虚作假。凡填写内容不实、有虚假成分的，一经发现，取消其申报资格。</w:t>
      </w:r>
    </w:p>
    <w:p>
      <w:pPr>
        <w:autoSpaceDN w:val="0"/>
        <w:spacing w:line="560" w:lineRule="exact"/>
        <w:rPr>
          <w:color w:val="000000"/>
        </w:rPr>
        <w:sectPr>
          <w:footerReference r:id="rId3" w:type="default"/>
          <w:footerReference r:id="rId4" w:type="even"/>
          <w:pgSz w:w="11906" w:h="16838"/>
          <w:pgMar w:top="2098" w:right="1531" w:bottom="1985" w:left="1531" w:header="851" w:footer="1406" w:gutter="0"/>
          <w:cols w:space="720" w:num="1"/>
          <w:docGrid w:type="lines" w:linePitch="435" w:charSpace="0"/>
        </w:sectPr>
      </w:pPr>
    </w:p>
    <w:tbl>
      <w:tblPr>
        <w:tblStyle w:val="5"/>
        <w:tblW w:w="8892" w:type="dxa"/>
        <w:jc w:val="center"/>
        <w:tblInd w:w="0" w:type="dxa"/>
        <w:tblLayout w:type="fixed"/>
        <w:tblCellMar>
          <w:top w:w="0" w:type="dxa"/>
          <w:left w:w="108" w:type="dxa"/>
          <w:bottom w:w="0" w:type="dxa"/>
          <w:right w:w="108" w:type="dxa"/>
        </w:tblCellMar>
      </w:tblPr>
      <w:tblGrid>
        <w:gridCol w:w="999"/>
        <w:gridCol w:w="1607"/>
        <w:gridCol w:w="1146"/>
        <w:gridCol w:w="1353"/>
        <w:gridCol w:w="1071"/>
        <w:gridCol w:w="492"/>
        <w:gridCol w:w="2224"/>
      </w:tblGrid>
      <w:tr>
        <w:tblPrEx>
          <w:tblLayout w:type="fixed"/>
          <w:tblCellMar>
            <w:top w:w="0" w:type="dxa"/>
            <w:left w:w="108" w:type="dxa"/>
            <w:bottom w:w="0" w:type="dxa"/>
            <w:right w:w="108" w:type="dxa"/>
          </w:tblCellMar>
        </w:tblPrEx>
        <w:trPr>
          <w:trHeight w:val="514" w:hRule="atLeast"/>
          <w:jc w:val="center"/>
        </w:trPr>
        <w:tc>
          <w:tcPr>
            <w:tcW w:w="8892" w:type="dxa"/>
            <w:gridSpan w:val="7"/>
            <w:tcBorders>
              <w:top w:val="single" w:color="000000" w:sz="4" w:space="0"/>
              <w:left w:val="single" w:color="000000" w:sz="4" w:space="0"/>
              <w:bottom w:val="single" w:color="000000" w:sz="4" w:space="0"/>
              <w:right w:val="single" w:color="000000" w:sz="4" w:space="0"/>
            </w:tcBorders>
            <w:vAlign w:val="center"/>
          </w:tcPr>
          <w:p>
            <w:pPr>
              <w:autoSpaceDN w:val="0"/>
              <w:spacing w:line="560" w:lineRule="exact"/>
              <w:rPr>
                <w:color w:val="000000"/>
              </w:rPr>
            </w:pPr>
            <w:r>
              <w:rPr>
                <w:color w:val="000000"/>
              </w:rPr>
              <w:t xml:space="preserve"> 1．基  本  情  况</w:t>
            </w:r>
          </w:p>
        </w:tc>
      </w:tr>
      <w:tr>
        <w:tblPrEx>
          <w:tblLayout w:type="fixed"/>
          <w:tblCellMar>
            <w:top w:w="0" w:type="dxa"/>
            <w:left w:w="108" w:type="dxa"/>
            <w:bottom w:w="0" w:type="dxa"/>
            <w:right w:w="108" w:type="dxa"/>
          </w:tblCellMar>
        </w:tblPrEx>
        <w:trPr>
          <w:trHeight w:val="538" w:hRule="atLeast"/>
          <w:jc w:val="center"/>
        </w:trPr>
        <w:tc>
          <w:tcPr>
            <w:tcW w:w="2606"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560" w:lineRule="exact"/>
              <w:jc w:val="center"/>
              <w:rPr>
                <w:color w:val="000000"/>
              </w:rPr>
            </w:pPr>
            <w:r>
              <w:rPr>
                <w:color w:val="000000"/>
                <w:sz w:val="28"/>
              </w:rPr>
              <w:t>创建示范区所在地</w:t>
            </w:r>
          </w:p>
        </w:tc>
        <w:tc>
          <w:tcPr>
            <w:tcW w:w="6286" w:type="dxa"/>
            <w:gridSpan w:val="5"/>
            <w:tcBorders>
              <w:top w:val="single" w:color="000000" w:sz="4" w:space="0"/>
              <w:bottom w:val="single" w:color="000000" w:sz="4" w:space="0"/>
              <w:right w:val="single" w:color="000000" w:sz="4" w:space="0"/>
            </w:tcBorders>
            <w:vAlign w:val="center"/>
          </w:tcPr>
          <w:p>
            <w:pPr>
              <w:autoSpaceDN w:val="0"/>
              <w:spacing w:line="560" w:lineRule="exact"/>
              <w:jc w:val="center"/>
              <w:rPr>
                <w:color w:val="000000"/>
              </w:rPr>
            </w:pPr>
          </w:p>
        </w:tc>
      </w:tr>
      <w:tr>
        <w:tblPrEx>
          <w:tblLayout w:type="fixed"/>
          <w:tblCellMar>
            <w:top w:w="0" w:type="dxa"/>
            <w:left w:w="108" w:type="dxa"/>
            <w:bottom w:w="0" w:type="dxa"/>
            <w:right w:w="108" w:type="dxa"/>
          </w:tblCellMar>
        </w:tblPrEx>
        <w:trPr>
          <w:trHeight w:val="732" w:hRule="atLeast"/>
          <w:jc w:val="center"/>
        </w:trPr>
        <w:tc>
          <w:tcPr>
            <w:tcW w:w="2606"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560" w:lineRule="exact"/>
              <w:jc w:val="center"/>
              <w:rPr>
                <w:color w:val="000000"/>
              </w:rPr>
            </w:pPr>
            <w:r>
              <w:rPr>
                <w:color w:val="000000"/>
                <w:sz w:val="28"/>
              </w:rPr>
              <w:t>创建示范区负责人</w:t>
            </w:r>
          </w:p>
        </w:tc>
        <w:tc>
          <w:tcPr>
            <w:tcW w:w="2499" w:type="dxa"/>
            <w:gridSpan w:val="2"/>
            <w:tcBorders>
              <w:top w:val="single" w:color="000000" w:sz="4" w:space="0"/>
              <w:bottom w:val="single" w:color="000000" w:sz="4" w:space="0"/>
              <w:right w:val="single" w:color="000000" w:sz="4" w:space="0"/>
            </w:tcBorders>
            <w:vAlign w:val="center"/>
          </w:tcPr>
          <w:p>
            <w:pPr>
              <w:autoSpaceDN w:val="0"/>
              <w:spacing w:line="560" w:lineRule="exact"/>
              <w:jc w:val="center"/>
              <w:rPr>
                <w:color w:val="000000"/>
              </w:rPr>
            </w:pPr>
          </w:p>
        </w:tc>
        <w:tc>
          <w:tcPr>
            <w:tcW w:w="1071" w:type="dxa"/>
            <w:tcBorders>
              <w:top w:val="single" w:color="000000" w:sz="4" w:space="0"/>
              <w:bottom w:val="single" w:color="000000" w:sz="4" w:space="0"/>
              <w:right w:val="single" w:color="000000" w:sz="4" w:space="0"/>
            </w:tcBorders>
            <w:vAlign w:val="center"/>
          </w:tcPr>
          <w:p>
            <w:pPr>
              <w:autoSpaceDN w:val="0"/>
              <w:spacing w:line="560" w:lineRule="exact"/>
              <w:jc w:val="center"/>
              <w:rPr>
                <w:color w:val="000000"/>
              </w:rPr>
            </w:pPr>
            <w:r>
              <w:rPr>
                <w:color w:val="000000"/>
                <w:sz w:val="28"/>
              </w:rPr>
              <w:t>职务</w:t>
            </w:r>
          </w:p>
        </w:tc>
        <w:tc>
          <w:tcPr>
            <w:tcW w:w="2716" w:type="dxa"/>
            <w:gridSpan w:val="2"/>
            <w:tcBorders>
              <w:top w:val="single" w:color="000000" w:sz="4" w:space="0"/>
              <w:bottom w:val="single" w:color="000000" w:sz="4" w:space="0"/>
              <w:right w:val="single" w:color="000000" w:sz="4" w:space="0"/>
            </w:tcBorders>
            <w:vAlign w:val="center"/>
          </w:tcPr>
          <w:p>
            <w:pPr>
              <w:autoSpaceDN w:val="0"/>
              <w:spacing w:line="560" w:lineRule="exact"/>
              <w:rPr>
                <w:color w:val="000000"/>
              </w:rPr>
            </w:pPr>
          </w:p>
        </w:tc>
      </w:tr>
      <w:tr>
        <w:tblPrEx>
          <w:tblLayout w:type="fixed"/>
          <w:tblCellMar>
            <w:top w:w="0" w:type="dxa"/>
            <w:left w:w="108" w:type="dxa"/>
            <w:bottom w:w="0" w:type="dxa"/>
            <w:right w:w="108" w:type="dxa"/>
          </w:tblCellMar>
        </w:tblPrEx>
        <w:trPr>
          <w:trHeight w:val="983" w:hRule="atLeast"/>
          <w:jc w:val="center"/>
        </w:trPr>
        <w:tc>
          <w:tcPr>
            <w:tcW w:w="999" w:type="dxa"/>
            <w:vMerge w:val="restart"/>
            <w:tcBorders>
              <w:left w:val="single" w:color="000000" w:sz="4" w:space="0"/>
              <w:bottom w:val="single" w:color="000000" w:sz="4" w:space="0"/>
              <w:right w:val="single" w:color="000000" w:sz="4" w:space="0"/>
            </w:tcBorders>
            <w:vAlign w:val="center"/>
          </w:tcPr>
          <w:p>
            <w:pPr>
              <w:autoSpaceDN w:val="0"/>
              <w:spacing w:line="560" w:lineRule="exact"/>
              <w:jc w:val="center"/>
              <w:rPr>
                <w:color w:val="000000"/>
              </w:rPr>
            </w:pPr>
            <w:r>
              <w:rPr>
                <w:color w:val="000000"/>
                <w:sz w:val="28"/>
              </w:rPr>
              <w:t>创</w:t>
            </w:r>
          </w:p>
          <w:p>
            <w:pPr>
              <w:autoSpaceDN w:val="0"/>
              <w:spacing w:line="560" w:lineRule="exact"/>
              <w:jc w:val="center"/>
              <w:rPr>
                <w:color w:val="000000"/>
              </w:rPr>
            </w:pPr>
            <w:r>
              <w:rPr>
                <w:color w:val="000000"/>
                <w:sz w:val="28"/>
              </w:rPr>
              <w:t>建</w:t>
            </w:r>
          </w:p>
          <w:p>
            <w:pPr>
              <w:autoSpaceDN w:val="0"/>
              <w:spacing w:line="560" w:lineRule="exact"/>
              <w:jc w:val="center"/>
              <w:rPr>
                <w:color w:val="000000"/>
              </w:rPr>
            </w:pPr>
            <w:r>
              <w:rPr>
                <w:color w:val="000000"/>
                <w:sz w:val="28"/>
              </w:rPr>
              <w:t>示</w:t>
            </w:r>
          </w:p>
          <w:p>
            <w:pPr>
              <w:autoSpaceDN w:val="0"/>
              <w:spacing w:line="560" w:lineRule="exact"/>
              <w:jc w:val="center"/>
              <w:rPr>
                <w:color w:val="000000"/>
              </w:rPr>
            </w:pPr>
            <w:r>
              <w:rPr>
                <w:color w:val="000000"/>
                <w:sz w:val="28"/>
              </w:rPr>
              <w:t>范</w:t>
            </w:r>
          </w:p>
          <w:p>
            <w:pPr>
              <w:autoSpaceDN w:val="0"/>
              <w:spacing w:line="560" w:lineRule="exact"/>
              <w:jc w:val="center"/>
              <w:rPr>
                <w:color w:val="000000"/>
              </w:rPr>
            </w:pPr>
            <w:r>
              <w:rPr>
                <w:color w:val="000000"/>
                <w:sz w:val="28"/>
              </w:rPr>
              <w:t>区</w:t>
            </w:r>
          </w:p>
          <w:p>
            <w:pPr>
              <w:autoSpaceDN w:val="0"/>
              <w:spacing w:line="560" w:lineRule="exact"/>
              <w:jc w:val="center"/>
              <w:rPr>
                <w:color w:val="000000"/>
              </w:rPr>
            </w:pPr>
            <w:r>
              <w:rPr>
                <w:color w:val="000000"/>
                <w:sz w:val="28"/>
              </w:rPr>
              <w:t>管</w:t>
            </w:r>
          </w:p>
          <w:p>
            <w:pPr>
              <w:autoSpaceDN w:val="0"/>
              <w:spacing w:line="560" w:lineRule="exact"/>
              <w:jc w:val="center"/>
              <w:rPr>
                <w:color w:val="000000"/>
              </w:rPr>
            </w:pPr>
            <w:r>
              <w:rPr>
                <w:color w:val="000000"/>
                <w:sz w:val="28"/>
              </w:rPr>
              <w:t>理</w:t>
            </w:r>
          </w:p>
          <w:p>
            <w:pPr>
              <w:autoSpaceDN w:val="0"/>
              <w:spacing w:line="560" w:lineRule="exact"/>
              <w:jc w:val="center"/>
              <w:rPr>
                <w:color w:val="000000"/>
              </w:rPr>
            </w:pPr>
            <w:r>
              <w:rPr>
                <w:color w:val="000000"/>
                <w:sz w:val="28"/>
              </w:rPr>
              <w:t>机</w:t>
            </w:r>
          </w:p>
          <w:p>
            <w:pPr>
              <w:autoSpaceDN w:val="0"/>
              <w:spacing w:line="560" w:lineRule="exact"/>
              <w:jc w:val="center"/>
              <w:rPr>
                <w:color w:val="000000"/>
              </w:rPr>
            </w:pPr>
            <w:r>
              <w:rPr>
                <w:color w:val="000000"/>
                <w:sz w:val="28"/>
              </w:rPr>
              <w:t>构</w:t>
            </w:r>
          </w:p>
        </w:tc>
        <w:tc>
          <w:tcPr>
            <w:tcW w:w="1607" w:type="dxa"/>
            <w:tcBorders>
              <w:top w:val="single" w:color="000000" w:sz="4" w:space="0"/>
              <w:bottom w:val="single" w:color="000000" w:sz="4" w:space="0"/>
              <w:right w:val="single" w:color="000000" w:sz="4" w:space="0"/>
            </w:tcBorders>
            <w:vAlign w:val="center"/>
          </w:tcPr>
          <w:p>
            <w:pPr>
              <w:autoSpaceDN w:val="0"/>
              <w:spacing w:line="560" w:lineRule="exact"/>
              <w:jc w:val="center"/>
              <w:rPr>
                <w:color w:val="000000"/>
              </w:rPr>
            </w:pPr>
            <w:r>
              <w:rPr>
                <w:color w:val="000000"/>
                <w:sz w:val="28"/>
              </w:rPr>
              <w:t>机构名称</w:t>
            </w:r>
          </w:p>
        </w:tc>
        <w:tc>
          <w:tcPr>
            <w:tcW w:w="2499" w:type="dxa"/>
            <w:gridSpan w:val="2"/>
            <w:tcBorders>
              <w:top w:val="single" w:color="000000" w:sz="4" w:space="0"/>
              <w:bottom w:val="single" w:color="000000" w:sz="4" w:space="0"/>
              <w:right w:val="single" w:color="000000" w:sz="4" w:space="0"/>
            </w:tcBorders>
            <w:vAlign w:val="center"/>
          </w:tcPr>
          <w:p>
            <w:pPr>
              <w:autoSpaceDN w:val="0"/>
              <w:spacing w:line="560" w:lineRule="exact"/>
              <w:jc w:val="center"/>
              <w:rPr>
                <w:color w:val="000000"/>
              </w:rPr>
            </w:pPr>
          </w:p>
        </w:tc>
        <w:tc>
          <w:tcPr>
            <w:tcW w:w="1071" w:type="dxa"/>
            <w:tcBorders>
              <w:top w:val="single" w:color="000000" w:sz="4" w:space="0"/>
              <w:bottom w:val="single" w:color="000000" w:sz="4" w:space="0"/>
              <w:right w:val="single" w:color="000000" w:sz="4" w:space="0"/>
            </w:tcBorders>
            <w:vAlign w:val="center"/>
          </w:tcPr>
          <w:p>
            <w:pPr>
              <w:autoSpaceDN w:val="0"/>
              <w:spacing w:line="560" w:lineRule="exact"/>
              <w:jc w:val="center"/>
              <w:rPr>
                <w:color w:val="000000"/>
              </w:rPr>
            </w:pPr>
            <w:r>
              <w:rPr>
                <w:color w:val="000000"/>
                <w:sz w:val="28"/>
              </w:rPr>
              <w:t>联系</w:t>
            </w:r>
          </w:p>
          <w:p>
            <w:pPr>
              <w:autoSpaceDN w:val="0"/>
              <w:spacing w:line="560" w:lineRule="exact"/>
              <w:jc w:val="center"/>
              <w:rPr>
                <w:color w:val="000000"/>
              </w:rPr>
            </w:pPr>
            <w:r>
              <w:rPr>
                <w:color w:val="000000"/>
                <w:sz w:val="28"/>
              </w:rPr>
              <w:t>电话</w:t>
            </w:r>
          </w:p>
        </w:tc>
        <w:tc>
          <w:tcPr>
            <w:tcW w:w="2716" w:type="dxa"/>
            <w:gridSpan w:val="2"/>
            <w:tcBorders>
              <w:top w:val="single" w:color="000000" w:sz="4" w:space="0"/>
              <w:bottom w:val="single" w:color="000000" w:sz="4" w:space="0"/>
              <w:right w:val="single" w:color="000000" w:sz="4" w:space="0"/>
            </w:tcBorders>
            <w:vAlign w:val="center"/>
          </w:tcPr>
          <w:p>
            <w:pPr>
              <w:autoSpaceDN w:val="0"/>
              <w:spacing w:line="560" w:lineRule="exact"/>
              <w:jc w:val="center"/>
              <w:rPr>
                <w:color w:val="000000"/>
              </w:rPr>
            </w:pPr>
          </w:p>
        </w:tc>
      </w:tr>
      <w:tr>
        <w:tblPrEx>
          <w:tblLayout w:type="fixed"/>
          <w:tblCellMar>
            <w:top w:w="0" w:type="dxa"/>
            <w:left w:w="108" w:type="dxa"/>
            <w:bottom w:w="0" w:type="dxa"/>
            <w:right w:w="108" w:type="dxa"/>
          </w:tblCellMar>
        </w:tblPrEx>
        <w:trPr>
          <w:trHeight w:val="1128" w:hRule="atLeast"/>
          <w:jc w:val="center"/>
        </w:trPr>
        <w:tc>
          <w:tcPr>
            <w:tcW w:w="999" w:type="dxa"/>
            <w:vMerge w:val="continue"/>
            <w:tcBorders>
              <w:left w:val="single" w:color="000000" w:sz="4" w:space="0"/>
              <w:bottom w:val="single" w:color="000000" w:sz="4" w:space="0"/>
              <w:right w:val="single" w:color="000000" w:sz="4" w:space="0"/>
            </w:tcBorders>
            <w:vAlign w:val="center"/>
          </w:tcPr>
          <w:p>
            <w:pPr>
              <w:spacing w:line="560" w:lineRule="exact"/>
            </w:pPr>
          </w:p>
        </w:tc>
        <w:tc>
          <w:tcPr>
            <w:tcW w:w="1607" w:type="dxa"/>
            <w:tcBorders>
              <w:top w:val="single" w:color="000000" w:sz="4" w:space="0"/>
              <w:bottom w:val="single" w:color="000000" w:sz="4" w:space="0"/>
              <w:right w:val="single" w:color="000000" w:sz="4" w:space="0"/>
            </w:tcBorders>
            <w:vAlign w:val="center"/>
          </w:tcPr>
          <w:p>
            <w:pPr>
              <w:autoSpaceDN w:val="0"/>
              <w:spacing w:line="560" w:lineRule="exact"/>
              <w:jc w:val="center"/>
              <w:rPr>
                <w:color w:val="000000"/>
              </w:rPr>
            </w:pPr>
            <w:r>
              <w:rPr>
                <w:color w:val="000000"/>
                <w:sz w:val="28"/>
              </w:rPr>
              <w:t>机构详细</w:t>
            </w:r>
          </w:p>
          <w:p>
            <w:pPr>
              <w:autoSpaceDN w:val="0"/>
              <w:spacing w:line="560" w:lineRule="exact"/>
              <w:jc w:val="center"/>
              <w:rPr>
                <w:color w:val="000000"/>
              </w:rPr>
            </w:pPr>
            <w:r>
              <w:rPr>
                <w:color w:val="000000"/>
                <w:sz w:val="28"/>
              </w:rPr>
              <w:t>通讯地址</w:t>
            </w:r>
          </w:p>
        </w:tc>
        <w:tc>
          <w:tcPr>
            <w:tcW w:w="2499" w:type="dxa"/>
            <w:gridSpan w:val="2"/>
            <w:tcBorders>
              <w:top w:val="single" w:color="000000" w:sz="4" w:space="0"/>
              <w:bottom w:val="single" w:color="000000" w:sz="4" w:space="0"/>
              <w:right w:val="single" w:color="000000" w:sz="4" w:space="0"/>
            </w:tcBorders>
            <w:vAlign w:val="center"/>
          </w:tcPr>
          <w:p>
            <w:pPr>
              <w:autoSpaceDN w:val="0"/>
              <w:spacing w:line="560" w:lineRule="exact"/>
              <w:jc w:val="center"/>
              <w:rPr>
                <w:color w:val="000000"/>
              </w:rPr>
            </w:pPr>
          </w:p>
        </w:tc>
        <w:tc>
          <w:tcPr>
            <w:tcW w:w="1071" w:type="dxa"/>
            <w:tcBorders>
              <w:top w:val="single" w:color="000000" w:sz="4" w:space="0"/>
              <w:bottom w:val="single" w:color="000000" w:sz="4" w:space="0"/>
              <w:right w:val="single" w:color="000000" w:sz="4" w:space="0"/>
            </w:tcBorders>
            <w:vAlign w:val="center"/>
          </w:tcPr>
          <w:p>
            <w:pPr>
              <w:autoSpaceDN w:val="0"/>
              <w:spacing w:line="560" w:lineRule="exact"/>
              <w:jc w:val="center"/>
              <w:rPr>
                <w:color w:val="000000"/>
              </w:rPr>
            </w:pPr>
            <w:r>
              <w:rPr>
                <w:color w:val="000000"/>
                <w:sz w:val="28"/>
              </w:rPr>
              <w:t>邮编</w:t>
            </w:r>
          </w:p>
        </w:tc>
        <w:tc>
          <w:tcPr>
            <w:tcW w:w="2716" w:type="dxa"/>
            <w:gridSpan w:val="2"/>
            <w:tcBorders>
              <w:top w:val="single" w:color="000000" w:sz="4" w:space="0"/>
              <w:bottom w:val="single" w:color="000000" w:sz="4" w:space="0"/>
              <w:right w:val="single" w:color="000000" w:sz="4" w:space="0"/>
            </w:tcBorders>
            <w:vAlign w:val="center"/>
          </w:tcPr>
          <w:p>
            <w:pPr>
              <w:autoSpaceDN w:val="0"/>
              <w:spacing w:line="560" w:lineRule="exact"/>
              <w:jc w:val="center"/>
              <w:rPr>
                <w:color w:val="000000"/>
              </w:rPr>
            </w:pPr>
          </w:p>
        </w:tc>
      </w:tr>
      <w:tr>
        <w:tblPrEx>
          <w:tblLayout w:type="fixed"/>
          <w:tblCellMar>
            <w:top w:w="0" w:type="dxa"/>
            <w:left w:w="108" w:type="dxa"/>
            <w:bottom w:w="0" w:type="dxa"/>
            <w:right w:w="108" w:type="dxa"/>
          </w:tblCellMar>
        </w:tblPrEx>
        <w:trPr>
          <w:trHeight w:val="1118" w:hRule="atLeast"/>
          <w:jc w:val="center"/>
        </w:trPr>
        <w:tc>
          <w:tcPr>
            <w:tcW w:w="999" w:type="dxa"/>
            <w:vMerge w:val="continue"/>
            <w:tcBorders>
              <w:left w:val="single" w:color="000000" w:sz="4" w:space="0"/>
              <w:bottom w:val="single" w:color="000000" w:sz="4" w:space="0"/>
              <w:right w:val="single" w:color="000000" w:sz="4" w:space="0"/>
            </w:tcBorders>
            <w:vAlign w:val="center"/>
          </w:tcPr>
          <w:p>
            <w:pPr>
              <w:spacing w:line="560" w:lineRule="exact"/>
            </w:pPr>
          </w:p>
        </w:tc>
        <w:tc>
          <w:tcPr>
            <w:tcW w:w="1607" w:type="dxa"/>
            <w:tcBorders>
              <w:top w:val="single" w:color="000000" w:sz="4" w:space="0"/>
              <w:bottom w:val="single" w:color="000000" w:sz="4" w:space="0"/>
              <w:right w:val="single" w:color="000000" w:sz="4" w:space="0"/>
            </w:tcBorders>
            <w:vAlign w:val="center"/>
          </w:tcPr>
          <w:p>
            <w:pPr>
              <w:autoSpaceDN w:val="0"/>
              <w:spacing w:line="560" w:lineRule="exact"/>
              <w:jc w:val="center"/>
              <w:rPr>
                <w:color w:val="000000"/>
              </w:rPr>
            </w:pPr>
            <w:r>
              <w:rPr>
                <w:color w:val="000000"/>
                <w:sz w:val="28"/>
              </w:rPr>
              <w:t xml:space="preserve">机    构 </w:t>
            </w:r>
          </w:p>
          <w:p>
            <w:pPr>
              <w:autoSpaceDN w:val="0"/>
              <w:spacing w:line="560" w:lineRule="exact"/>
              <w:jc w:val="center"/>
              <w:rPr>
                <w:color w:val="000000"/>
              </w:rPr>
            </w:pPr>
            <w:r>
              <w:rPr>
                <w:color w:val="000000"/>
                <w:sz w:val="28"/>
              </w:rPr>
              <w:t>负 责 人</w:t>
            </w:r>
          </w:p>
        </w:tc>
        <w:tc>
          <w:tcPr>
            <w:tcW w:w="2499" w:type="dxa"/>
            <w:gridSpan w:val="2"/>
            <w:tcBorders>
              <w:top w:val="single" w:color="000000" w:sz="4" w:space="0"/>
              <w:bottom w:val="single" w:color="000000" w:sz="4" w:space="0"/>
              <w:right w:val="single" w:color="000000" w:sz="4" w:space="0"/>
            </w:tcBorders>
            <w:vAlign w:val="center"/>
          </w:tcPr>
          <w:p>
            <w:pPr>
              <w:autoSpaceDN w:val="0"/>
              <w:spacing w:line="560" w:lineRule="exact"/>
              <w:jc w:val="distribute"/>
              <w:rPr>
                <w:color w:val="000000"/>
              </w:rPr>
            </w:pPr>
          </w:p>
        </w:tc>
        <w:tc>
          <w:tcPr>
            <w:tcW w:w="1071" w:type="dxa"/>
            <w:tcBorders>
              <w:top w:val="single" w:color="000000" w:sz="4" w:space="0"/>
              <w:bottom w:val="single" w:color="000000" w:sz="4" w:space="0"/>
              <w:right w:val="single" w:color="000000" w:sz="4" w:space="0"/>
            </w:tcBorders>
            <w:vAlign w:val="center"/>
          </w:tcPr>
          <w:p>
            <w:pPr>
              <w:autoSpaceDN w:val="0"/>
              <w:spacing w:line="560" w:lineRule="exact"/>
              <w:jc w:val="center"/>
              <w:rPr>
                <w:color w:val="000000"/>
              </w:rPr>
            </w:pPr>
            <w:r>
              <w:rPr>
                <w:color w:val="000000"/>
                <w:sz w:val="28"/>
              </w:rPr>
              <w:t>职务</w:t>
            </w:r>
          </w:p>
        </w:tc>
        <w:tc>
          <w:tcPr>
            <w:tcW w:w="2716" w:type="dxa"/>
            <w:gridSpan w:val="2"/>
            <w:tcBorders>
              <w:top w:val="single" w:color="000000" w:sz="4" w:space="0"/>
              <w:bottom w:val="single" w:color="000000" w:sz="4" w:space="0"/>
              <w:right w:val="single" w:color="000000" w:sz="4" w:space="0"/>
            </w:tcBorders>
            <w:vAlign w:val="center"/>
          </w:tcPr>
          <w:p>
            <w:pPr>
              <w:autoSpaceDN w:val="0"/>
              <w:spacing w:line="560" w:lineRule="exact"/>
              <w:jc w:val="center"/>
              <w:rPr>
                <w:color w:val="000000"/>
              </w:rPr>
            </w:pPr>
          </w:p>
        </w:tc>
      </w:tr>
      <w:tr>
        <w:tblPrEx>
          <w:tblLayout w:type="fixed"/>
          <w:tblCellMar>
            <w:top w:w="0" w:type="dxa"/>
            <w:left w:w="108" w:type="dxa"/>
            <w:bottom w:w="0" w:type="dxa"/>
            <w:right w:w="108" w:type="dxa"/>
          </w:tblCellMar>
        </w:tblPrEx>
        <w:trPr>
          <w:trHeight w:val="570" w:hRule="atLeast"/>
          <w:jc w:val="center"/>
        </w:trPr>
        <w:tc>
          <w:tcPr>
            <w:tcW w:w="999" w:type="dxa"/>
            <w:vMerge w:val="continue"/>
            <w:tcBorders>
              <w:left w:val="single" w:color="000000" w:sz="4" w:space="0"/>
              <w:bottom w:val="single" w:color="000000" w:sz="4" w:space="0"/>
              <w:right w:val="single" w:color="000000" w:sz="4" w:space="0"/>
            </w:tcBorders>
            <w:vAlign w:val="center"/>
          </w:tcPr>
          <w:p>
            <w:pPr>
              <w:spacing w:line="560" w:lineRule="exact"/>
            </w:pPr>
          </w:p>
        </w:tc>
        <w:tc>
          <w:tcPr>
            <w:tcW w:w="1607" w:type="dxa"/>
            <w:tcBorders>
              <w:top w:val="single" w:color="000000" w:sz="4" w:space="0"/>
              <w:bottom w:val="single" w:color="000000" w:sz="4" w:space="0"/>
              <w:right w:val="single" w:color="000000" w:sz="4" w:space="0"/>
            </w:tcBorders>
            <w:vAlign w:val="center"/>
          </w:tcPr>
          <w:p>
            <w:pPr>
              <w:autoSpaceDN w:val="0"/>
              <w:spacing w:line="560" w:lineRule="exact"/>
              <w:jc w:val="center"/>
              <w:rPr>
                <w:color w:val="000000"/>
              </w:rPr>
            </w:pPr>
            <w:r>
              <w:rPr>
                <w:color w:val="000000"/>
                <w:sz w:val="28"/>
              </w:rPr>
              <w:t>负 责 人</w:t>
            </w:r>
          </w:p>
          <w:p>
            <w:pPr>
              <w:autoSpaceDN w:val="0"/>
              <w:spacing w:line="560" w:lineRule="exact"/>
              <w:jc w:val="center"/>
              <w:rPr>
                <w:color w:val="000000"/>
              </w:rPr>
            </w:pPr>
            <w:r>
              <w:rPr>
                <w:color w:val="000000"/>
                <w:sz w:val="28"/>
              </w:rPr>
              <w:t>联系电话</w:t>
            </w:r>
          </w:p>
        </w:tc>
        <w:tc>
          <w:tcPr>
            <w:tcW w:w="2499" w:type="dxa"/>
            <w:gridSpan w:val="2"/>
            <w:tcBorders>
              <w:top w:val="single" w:color="000000" w:sz="4" w:space="0"/>
              <w:bottom w:val="single" w:color="000000" w:sz="4" w:space="0"/>
              <w:right w:val="single" w:color="000000" w:sz="4" w:space="0"/>
            </w:tcBorders>
            <w:vAlign w:val="center"/>
          </w:tcPr>
          <w:p>
            <w:pPr>
              <w:autoSpaceDN w:val="0"/>
              <w:spacing w:line="560" w:lineRule="exact"/>
              <w:rPr>
                <w:color w:val="000000"/>
              </w:rPr>
            </w:pPr>
          </w:p>
        </w:tc>
        <w:tc>
          <w:tcPr>
            <w:tcW w:w="1071" w:type="dxa"/>
            <w:tcBorders>
              <w:top w:val="single" w:color="000000" w:sz="4" w:space="0"/>
              <w:bottom w:val="single" w:color="000000" w:sz="4" w:space="0"/>
              <w:right w:val="single" w:color="000000" w:sz="4" w:space="0"/>
            </w:tcBorders>
            <w:vAlign w:val="center"/>
          </w:tcPr>
          <w:p>
            <w:pPr>
              <w:autoSpaceDN w:val="0"/>
              <w:spacing w:line="560" w:lineRule="exact"/>
              <w:jc w:val="center"/>
              <w:rPr>
                <w:color w:val="000000"/>
              </w:rPr>
            </w:pPr>
            <w:r>
              <w:rPr>
                <w:color w:val="000000"/>
                <w:sz w:val="28"/>
              </w:rPr>
              <w:t>传真</w:t>
            </w:r>
          </w:p>
        </w:tc>
        <w:tc>
          <w:tcPr>
            <w:tcW w:w="2716" w:type="dxa"/>
            <w:gridSpan w:val="2"/>
            <w:tcBorders>
              <w:top w:val="single" w:color="000000" w:sz="4" w:space="0"/>
              <w:bottom w:val="single" w:color="000000" w:sz="4" w:space="0"/>
              <w:right w:val="single" w:color="000000" w:sz="4" w:space="0"/>
            </w:tcBorders>
            <w:vAlign w:val="center"/>
          </w:tcPr>
          <w:p>
            <w:pPr>
              <w:autoSpaceDN w:val="0"/>
              <w:spacing w:line="560" w:lineRule="exact"/>
              <w:jc w:val="center"/>
              <w:rPr>
                <w:color w:val="000000"/>
              </w:rPr>
            </w:pPr>
          </w:p>
        </w:tc>
      </w:tr>
      <w:tr>
        <w:tblPrEx>
          <w:tblLayout w:type="fixed"/>
          <w:tblCellMar>
            <w:top w:w="0" w:type="dxa"/>
            <w:left w:w="108" w:type="dxa"/>
            <w:bottom w:w="0" w:type="dxa"/>
            <w:right w:w="108" w:type="dxa"/>
          </w:tblCellMar>
        </w:tblPrEx>
        <w:trPr>
          <w:trHeight w:val="687" w:hRule="atLeast"/>
          <w:jc w:val="center"/>
        </w:trPr>
        <w:tc>
          <w:tcPr>
            <w:tcW w:w="999" w:type="dxa"/>
            <w:vMerge w:val="continue"/>
            <w:tcBorders>
              <w:left w:val="single" w:color="000000" w:sz="4" w:space="0"/>
              <w:bottom w:val="single" w:color="000000" w:sz="4" w:space="0"/>
              <w:right w:val="single" w:color="000000" w:sz="4" w:space="0"/>
            </w:tcBorders>
            <w:vAlign w:val="center"/>
          </w:tcPr>
          <w:p>
            <w:pPr>
              <w:spacing w:line="560" w:lineRule="exact"/>
            </w:pPr>
          </w:p>
        </w:tc>
        <w:tc>
          <w:tcPr>
            <w:tcW w:w="1607" w:type="dxa"/>
            <w:tcBorders>
              <w:top w:val="single" w:color="000000" w:sz="4" w:space="0"/>
              <w:bottom w:val="single" w:color="000000" w:sz="4" w:space="0"/>
              <w:right w:val="single" w:color="000000" w:sz="4" w:space="0"/>
            </w:tcBorders>
            <w:vAlign w:val="center"/>
          </w:tcPr>
          <w:p>
            <w:pPr>
              <w:autoSpaceDN w:val="0"/>
              <w:spacing w:line="560" w:lineRule="exact"/>
              <w:jc w:val="center"/>
              <w:rPr>
                <w:color w:val="000000"/>
              </w:rPr>
            </w:pPr>
            <w:r>
              <w:rPr>
                <w:color w:val="000000"/>
                <w:sz w:val="28"/>
              </w:rPr>
              <w:t>电子邮件</w:t>
            </w:r>
          </w:p>
        </w:tc>
        <w:tc>
          <w:tcPr>
            <w:tcW w:w="6286" w:type="dxa"/>
            <w:gridSpan w:val="5"/>
            <w:tcBorders>
              <w:top w:val="single" w:color="000000" w:sz="4" w:space="0"/>
              <w:bottom w:val="single" w:color="000000" w:sz="4" w:space="0"/>
              <w:right w:val="single" w:color="000000" w:sz="4" w:space="0"/>
            </w:tcBorders>
            <w:vAlign w:val="center"/>
          </w:tcPr>
          <w:p>
            <w:pPr>
              <w:autoSpaceDN w:val="0"/>
              <w:spacing w:line="560" w:lineRule="exact"/>
              <w:jc w:val="center"/>
              <w:rPr>
                <w:color w:val="000000"/>
              </w:rPr>
            </w:pPr>
          </w:p>
        </w:tc>
      </w:tr>
      <w:tr>
        <w:tblPrEx>
          <w:tblLayout w:type="fixed"/>
          <w:tblCellMar>
            <w:top w:w="0" w:type="dxa"/>
            <w:left w:w="108" w:type="dxa"/>
            <w:bottom w:w="0" w:type="dxa"/>
            <w:right w:w="108" w:type="dxa"/>
          </w:tblCellMar>
        </w:tblPrEx>
        <w:trPr>
          <w:trHeight w:val="555" w:hRule="atLeast"/>
          <w:jc w:val="center"/>
        </w:trPr>
        <w:tc>
          <w:tcPr>
            <w:tcW w:w="8892" w:type="dxa"/>
            <w:gridSpan w:val="7"/>
            <w:tcBorders>
              <w:top w:val="single" w:color="000000" w:sz="4" w:space="0"/>
              <w:left w:val="single" w:color="000000" w:sz="4" w:space="0"/>
              <w:bottom w:val="single" w:color="000000" w:sz="4" w:space="0"/>
              <w:right w:val="single" w:color="000000" w:sz="4" w:space="0"/>
            </w:tcBorders>
            <w:vAlign w:val="center"/>
          </w:tcPr>
          <w:p>
            <w:pPr>
              <w:autoSpaceDN w:val="0"/>
              <w:spacing w:line="560" w:lineRule="exact"/>
              <w:rPr>
                <w:color w:val="000000"/>
              </w:rPr>
            </w:pPr>
            <w:r>
              <w:rPr>
                <w:color w:val="000000"/>
              </w:rPr>
              <w:t xml:space="preserve"> 2．有 关 工 作 成 绩</w:t>
            </w:r>
          </w:p>
        </w:tc>
      </w:tr>
      <w:tr>
        <w:tblPrEx>
          <w:tblLayout w:type="fixed"/>
          <w:tblCellMar>
            <w:top w:w="0" w:type="dxa"/>
            <w:left w:w="108" w:type="dxa"/>
            <w:bottom w:w="0" w:type="dxa"/>
            <w:right w:w="108" w:type="dxa"/>
          </w:tblCellMar>
        </w:tblPrEx>
        <w:trPr>
          <w:trHeight w:val="905" w:hRule="atLeast"/>
          <w:jc w:val="center"/>
        </w:trPr>
        <w:tc>
          <w:tcPr>
            <w:tcW w:w="3752"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560" w:lineRule="exact"/>
              <w:jc w:val="center"/>
              <w:rPr>
                <w:color w:val="000000"/>
              </w:rPr>
            </w:pPr>
            <w:r>
              <w:rPr>
                <w:color w:val="000000"/>
                <w:sz w:val="28"/>
              </w:rPr>
              <w:t>荣誉称号或专项工作名称</w:t>
            </w:r>
          </w:p>
        </w:tc>
        <w:tc>
          <w:tcPr>
            <w:tcW w:w="2916" w:type="dxa"/>
            <w:gridSpan w:val="3"/>
            <w:tcBorders>
              <w:top w:val="single" w:color="000000" w:sz="4" w:space="0"/>
              <w:bottom w:val="single" w:color="000000" w:sz="4" w:space="0"/>
              <w:right w:val="single" w:color="000000" w:sz="4" w:space="0"/>
            </w:tcBorders>
            <w:vAlign w:val="center"/>
          </w:tcPr>
          <w:p>
            <w:pPr>
              <w:autoSpaceDN w:val="0"/>
              <w:spacing w:line="560" w:lineRule="exact"/>
              <w:jc w:val="center"/>
              <w:rPr>
                <w:color w:val="000000"/>
              </w:rPr>
            </w:pPr>
            <w:r>
              <w:rPr>
                <w:color w:val="000000"/>
                <w:sz w:val="28"/>
              </w:rPr>
              <w:t>批准机关及文号</w:t>
            </w:r>
          </w:p>
          <w:p>
            <w:pPr>
              <w:autoSpaceDN w:val="0"/>
              <w:spacing w:line="560" w:lineRule="exact"/>
              <w:jc w:val="center"/>
              <w:rPr>
                <w:color w:val="000000"/>
              </w:rPr>
            </w:pPr>
            <w:r>
              <w:rPr>
                <w:color w:val="000000"/>
                <w:sz w:val="28"/>
              </w:rPr>
              <w:t>或会议名称</w:t>
            </w:r>
          </w:p>
        </w:tc>
        <w:tc>
          <w:tcPr>
            <w:tcW w:w="2224" w:type="dxa"/>
            <w:tcBorders>
              <w:top w:val="single" w:color="000000" w:sz="4" w:space="0"/>
              <w:bottom w:val="single" w:color="000000" w:sz="4" w:space="0"/>
              <w:right w:val="single" w:color="000000" w:sz="4" w:space="0"/>
            </w:tcBorders>
            <w:vAlign w:val="center"/>
          </w:tcPr>
          <w:p>
            <w:pPr>
              <w:autoSpaceDN w:val="0"/>
              <w:spacing w:line="560" w:lineRule="exact"/>
              <w:jc w:val="center"/>
              <w:rPr>
                <w:color w:val="000000"/>
              </w:rPr>
            </w:pPr>
            <w:r>
              <w:rPr>
                <w:color w:val="000000"/>
                <w:sz w:val="28"/>
              </w:rPr>
              <w:t>命名或会议时间</w:t>
            </w:r>
          </w:p>
        </w:tc>
      </w:tr>
      <w:tr>
        <w:tblPrEx>
          <w:tblLayout w:type="fixed"/>
          <w:tblCellMar>
            <w:top w:w="0" w:type="dxa"/>
            <w:left w:w="108" w:type="dxa"/>
            <w:bottom w:w="0" w:type="dxa"/>
            <w:right w:w="108" w:type="dxa"/>
          </w:tblCellMar>
        </w:tblPrEx>
        <w:trPr>
          <w:trHeight w:val="882" w:hRule="atLeast"/>
          <w:jc w:val="center"/>
        </w:trPr>
        <w:tc>
          <w:tcPr>
            <w:tcW w:w="3752"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560" w:lineRule="exact"/>
              <w:jc w:val="center"/>
              <w:rPr>
                <w:color w:val="000000"/>
              </w:rPr>
            </w:pPr>
          </w:p>
        </w:tc>
        <w:tc>
          <w:tcPr>
            <w:tcW w:w="2916" w:type="dxa"/>
            <w:gridSpan w:val="3"/>
            <w:tcBorders>
              <w:top w:val="single" w:color="000000" w:sz="4" w:space="0"/>
              <w:bottom w:val="single" w:color="000000" w:sz="4" w:space="0"/>
              <w:right w:val="single" w:color="000000" w:sz="4" w:space="0"/>
            </w:tcBorders>
            <w:vAlign w:val="center"/>
          </w:tcPr>
          <w:p>
            <w:pPr>
              <w:autoSpaceDN w:val="0"/>
              <w:spacing w:line="560" w:lineRule="exact"/>
              <w:jc w:val="center"/>
              <w:rPr>
                <w:color w:val="000000"/>
              </w:rPr>
            </w:pPr>
          </w:p>
        </w:tc>
        <w:tc>
          <w:tcPr>
            <w:tcW w:w="2224" w:type="dxa"/>
            <w:tcBorders>
              <w:top w:val="single" w:color="000000" w:sz="4" w:space="0"/>
              <w:bottom w:val="single" w:color="000000" w:sz="4" w:space="0"/>
              <w:right w:val="single" w:color="000000" w:sz="4" w:space="0"/>
            </w:tcBorders>
            <w:vAlign w:val="center"/>
          </w:tcPr>
          <w:p>
            <w:pPr>
              <w:autoSpaceDN w:val="0"/>
              <w:spacing w:line="560" w:lineRule="exact"/>
              <w:jc w:val="center"/>
              <w:rPr>
                <w:color w:val="000000"/>
              </w:rPr>
            </w:pPr>
          </w:p>
        </w:tc>
      </w:tr>
      <w:tr>
        <w:tblPrEx>
          <w:tblLayout w:type="fixed"/>
          <w:tblCellMar>
            <w:top w:w="0" w:type="dxa"/>
            <w:left w:w="108" w:type="dxa"/>
            <w:bottom w:w="0" w:type="dxa"/>
            <w:right w:w="108" w:type="dxa"/>
          </w:tblCellMar>
        </w:tblPrEx>
        <w:trPr>
          <w:trHeight w:val="882" w:hRule="atLeast"/>
          <w:jc w:val="center"/>
        </w:trPr>
        <w:tc>
          <w:tcPr>
            <w:tcW w:w="3752"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560" w:lineRule="exact"/>
              <w:jc w:val="center"/>
              <w:rPr>
                <w:color w:val="000000"/>
              </w:rPr>
            </w:pPr>
          </w:p>
        </w:tc>
        <w:tc>
          <w:tcPr>
            <w:tcW w:w="2916" w:type="dxa"/>
            <w:gridSpan w:val="3"/>
            <w:tcBorders>
              <w:top w:val="single" w:color="000000" w:sz="4" w:space="0"/>
              <w:bottom w:val="single" w:color="000000" w:sz="4" w:space="0"/>
              <w:right w:val="single" w:color="000000" w:sz="4" w:space="0"/>
            </w:tcBorders>
            <w:vAlign w:val="center"/>
          </w:tcPr>
          <w:p>
            <w:pPr>
              <w:autoSpaceDN w:val="0"/>
              <w:spacing w:line="560" w:lineRule="exact"/>
              <w:jc w:val="center"/>
              <w:rPr>
                <w:color w:val="000000"/>
              </w:rPr>
            </w:pPr>
          </w:p>
        </w:tc>
        <w:tc>
          <w:tcPr>
            <w:tcW w:w="2224" w:type="dxa"/>
            <w:tcBorders>
              <w:top w:val="single" w:color="000000" w:sz="4" w:space="0"/>
              <w:bottom w:val="single" w:color="000000" w:sz="4" w:space="0"/>
              <w:right w:val="single" w:color="000000" w:sz="4" w:space="0"/>
            </w:tcBorders>
            <w:vAlign w:val="center"/>
          </w:tcPr>
          <w:p>
            <w:pPr>
              <w:autoSpaceDN w:val="0"/>
              <w:spacing w:line="560" w:lineRule="exact"/>
              <w:jc w:val="center"/>
              <w:rPr>
                <w:color w:val="000000"/>
              </w:rPr>
            </w:pPr>
          </w:p>
        </w:tc>
      </w:tr>
      <w:tr>
        <w:tblPrEx>
          <w:tblLayout w:type="fixed"/>
          <w:tblCellMar>
            <w:top w:w="0" w:type="dxa"/>
            <w:left w:w="108" w:type="dxa"/>
            <w:bottom w:w="0" w:type="dxa"/>
            <w:right w:w="108" w:type="dxa"/>
          </w:tblCellMar>
        </w:tblPrEx>
        <w:trPr>
          <w:trHeight w:val="882" w:hRule="atLeast"/>
          <w:jc w:val="center"/>
        </w:trPr>
        <w:tc>
          <w:tcPr>
            <w:tcW w:w="3752"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560" w:lineRule="exact"/>
              <w:jc w:val="center"/>
              <w:rPr>
                <w:color w:val="000000"/>
              </w:rPr>
            </w:pPr>
          </w:p>
        </w:tc>
        <w:tc>
          <w:tcPr>
            <w:tcW w:w="2916" w:type="dxa"/>
            <w:gridSpan w:val="3"/>
            <w:tcBorders>
              <w:top w:val="single" w:color="000000" w:sz="4" w:space="0"/>
              <w:bottom w:val="single" w:color="000000" w:sz="4" w:space="0"/>
              <w:right w:val="single" w:color="000000" w:sz="4" w:space="0"/>
            </w:tcBorders>
            <w:vAlign w:val="center"/>
          </w:tcPr>
          <w:p>
            <w:pPr>
              <w:autoSpaceDN w:val="0"/>
              <w:spacing w:line="560" w:lineRule="exact"/>
              <w:jc w:val="center"/>
              <w:rPr>
                <w:color w:val="000000"/>
              </w:rPr>
            </w:pPr>
          </w:p>
        </w:tc>
        <w:tc>
          <w:tcPr>
            <w:tcW w:w="2224" w:type="dxa"/>
            <w:tcBorders>
              <w:top w:val="single" w:color="000000" w:sz="4" w:space="0"/>
              <w:bottom w:val="single" w:color="000000" w:sz="4" w:space="0"/>
              <w:right w:val="single" w:color="000000" w:sz="4" w:space="0"/>
            </w:tcBorders>
            <w:vAlign w:val="center"/>
          </w:tcPr>
          <w:p>
            <w:pPr>
              <w:autoSpaceDN w:val="0"/>
              <w:spacing w:line="560" w:lineRule="exact"/>
              <w:jc w:val="center"/>
              <w:rPr>
                <w:color w:val="000000"/>
              </w:rPr>
            </w:pPr>
          </w:p>
        </w:tc>
      </w:tr>
      <w:tr>
        <w:tblPrEx>
          <w:tblLayout w:type="fixed"/>
          <w:tblCellMar>
            <w:top w:w="0" w:type="dxa"/>
            <w:left w:w="108" w:type="dxa"/>
            <w:bottom w:w="0" w:type="dxa"/>
            <w:right w:w="108" w:type="dxa"/>
          </w:tblCellMar>
        </w:tblPrEx>
        <w:trPr>
          <w:trHeight w:val="882" w:hRule="atLeast"/>
          <w:jc w:val="center"/>
        </w:trPr>
        <w:tc>
          <w:tcPr>
            <w:tcW w:w="3752"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560" w:lineRule="exact"/>
              <w:jc w:val="center"/>
              <w:rPr>
                <w:color w:val="000000"/>
              </w:rPr>
            </w:pPr>
          </w:p>
        </w:tc>
        <w:tc>
          <w:tcPr>
            <w:tcW w:w="2916" w:type="dxa"/>
            <w:gridSpan w:val="3"/>
            <w:tcBorders>
              <w:top w:val="single" w:color="000000" w:sz="4" w:space="0"/>
              <w:bottom w:val="single" w:color="000000" w:sz="4" w:space="0"/>
              <w:right w:val="single" w:color="000000" w:sz="4" w:space="0"/>
            </w:tcBorders>
            <w:vAlign w:val="center"/>
          </w:tcPr>
          <w:p>
            <w:pPr>
              <w:autoSpaceDN w:val="0"/>
              <w:spacing w:line="560" w:lineRule="exact"/>
              <w:jc w:val="center"/>
              <w:rPr>
                <w:color w:val="000000"/>
              </w:rPr>
            </w:pPr>
          </w:p>
        </w:tc>
        <w:tc>
          <w:tcPr>
            <w:tcW w:w="2224" w:type="dxa"/>
            <w:tcBorders>
              <w:top w:val="single" w:color="000000" w:sz="4" w:space="0"/>
              <w:bottom w:val="single" w:color="000000" w:sz="4" w:space="0"/>
              <w:right w:val="single" w:color="000000" w:sz="4" w:space="0"/>
            </w:tcBorders>
            <w:vAlign w:val="center"/>
          </w:tcPr>
          <w:p>
            <w:pPr>
              <w:autoSpaceDN w:val="0"/>
              <w:spacing w:line="560" w:lineRule="exact"/>
              <w:jc w:val="center"/>
              <w:rPr>
                <w:color w:val="000000"/>
              </w:rPr>
            </w:pPr>
          </w:p>
        </w:tc>
      </w:tr>
    </w:tbl>
    <w:p>
      <w:pPr>
        <w:autoSpaceDN w:val="0"/>
        <w:spacing w:line="560" w:lineRule="exact"/>
        <w:rPr>
          <w:color w:val="000000"/>
          <w:sz w:val="28"/>
        </w:rPr>
      </w:pPr>
      <w:r>
        <w:rPr>
          <w:color w:val="000000"/>
          <w:sz w:val="28"/>
        </w:rPr>
        <w:t>（可另附纸）</w:t>
      </w:r>
    </w:p>
    <w:tbl>
      <w:tblPr>
        <w:tblStyle w:val="5"/>
        <w:tblW w:w="8648" w:type="dxa"/>
        <w:jc w:val="center"/>
        <w:tblInd w:w="0" w:type="dxa"/>
        <w:tblLayout w:type="fixed"/>
        <w:tblCellMar>
          <w:top w:w="0" w:type="dxa"/>
          <w:left w:w="108" w:type="dxa"/>
          <w:bottom w:w="0" w:type="dxa"/>
          <w:right w:w="108" w:type="dxa"/>
        </w:tblCellMar>
      </w:tblPr>
      <w:tblGrid>
        <w:gridCol w:w="8648"/>
      </w:tblGrid>
      <w:tr>
        <w:tblPrEx>
          <w:tblLayout w:type="fixed"/>
          <w:tblCellMar>
            <w:top w:w="0" w:type="dxa"/>
            <w:left w:w="108" w:type="dxa"/>
            <w:bottom w:w="0" w:type="dxa"/>
            <w:right w:w="108" w:type="dxa"/>
          </w:tblCellMar>
        </w:tblPrEx>
        <w:trPr>
          <w:trHeight w:val="12918" w:hRule="atLeast"/>
          <w:jc w:val="center"/>
        </w:trPr>
        <w:tc>
          <w:tcPr>
            <w:tcW w:w="8648" w:type="dxa"/>
            <w:tcBorders>
              <w:top w:val="single" w:color="000000" w:sz="4" w:space="0"/>
              <w:left w:val="single" w:color="000000" w:sz="4" w:space="0"/>
              <w:bottom w:val="single" w:color="000000" w:sz="4" w:space="0"/>
              <w:right w:val="single" w:color="000000" w:sz="4" w:space="0"/>
            </w:tcBorders>
            <w:vAlign w:val="top"/>
          </w:tcPr>
          <w:p>
            <w:pPr>
              <w:autoSpaceDN w:val="0"/>
              <w:spacing w:line="560" w:lineRule="exact"/>
              <w:rPr>
                <w:color w:val="000000"/>
              </w:rPr>
            </w:pPr>
            <w:r>
              <w:rPr>
                <w:color w:val="000000"/>
              </w:rPr>
              <w:t xml:space="preserve"> 3．申 报 理 由</w:t>
            </w:r>
          </w:p>
          <w:p>
            <w:pPr>
              <w:autoSpaceDN w:val="0"/>
              <w:spacing w:line="560" w:lineRule="exact"/>
              <w:rPr>
                <w:color w:val="000000"/>
              </w:rPr>
            </w:pPr>
          </w:p>
          <w:p>
            <w:pPr>
              <w:autoSpaceDN w:val="0"/>
              <w:spacing w:line="560" w:lineRule="exact"/>
              <w:rPr>
                <w:color w:val="000000"/>
              </w:rPr>
            </w:pPr>
          </w:p>
          <w:p>
            <w:pPr>
              <w:autoSpaceDN w:val="0"/>
              <w:spacing w:line="560" w:lineRule="exact"/>
              <w:rPr>
                <w:color w:val="000000"/>
              </w:rPr>
            </w:pPr>
          </w:p>
          <w:p>
            <w:pPr>
              <w:autoSpaceDN w:val="0"/>
              <w:spacing w:line="560" w:lineRule="exact"/>
              <w:rPr>
                <w:color w:val="000000"/>
              </w:rPr>
            </w:pPr>
          </w:p>
          <w:p>
            <w:pPr>
              <w:autoSpaceDN w:val="0"/>
              <w:spacing w:line="560" w:lineRule="exact"/>
              <w:rPr>
                <w:color w:val="000000"/>
              </w:rPr>
            </w:pPr>
          </w:p>
          <w:p>
            <w:pPr>
              <w:autoSpaceDN w:val="0"/>
              <w:spacing w:line="560" w:lineRule="exact"/>
              <w:rPr>
                <w:color w:val="000000"/>
              </w:rPr>
            </w:pPr>
          </w:p>
          <w:p>
            <w:pPr>
              <w:autoSpaceDN w:val="0"/>
              <w:spacing w:line="560" w:lineRule="exact"/>
              <w:rPr>
                <w:color w:val="000000"/>
              </w:rPr>
            </w:pPr>
          </w:p>
          <w:p>
            <w:pPr>
              <w:autoSpaceDN w:val="0"/>
              <w:spacing w:line="560" w:lineRule="exact"/>
              <w:rPr>
                <w:color w:val="000000"/>
              </w:rPr>
            </w:pPr>
          </w:p>
          <w:p>
            <w:pPr>
              <w:autoSpaceDN w:val="0"/>
              <w:spacing w:line="560" w:lineRule="exact"/>
              <w:rPr>
                <w:color w:val="000000"/>
              </w:rPr>
            </w:pPr>
          </w:p>
          <w:p>
            <w:pPr>
              <w:autoSpaceDN w:val="0"/>
              <w:spacing w:line="560" w:lineRule="exact"/>
              <w:rPr>
                <w:color w:val="000000"/>
              </w:rPr>
            </w:pPr>
          </w:p>
          <w:p>
            <w:pPr>
              <w:autoSpaceDN w:val="0"/>
              <w:spacing w:line="560" w:lineRule="exact"/>
              <w:rPr>
                <w:color w:val="000000"/>
              </w:rPr>
            </w:pPr>
          </w:p>
          <w:p>
            <w:pPr>
              <w:autoSpaceDN w:val="0"/>
              <w:spacing w:line="560" w:lineRule="exact"/>
              <w:rPr>
                <w:color w:val="000000"/>
              </w:rPr>
            </w:pPr>
          </w:p>
          <w:p>
            <w:pPr>
              <w:autoSpaceDN w:val="0"/>
              <w:spacing w:line="560" w:lineRule="exact"/>
              <w:rPr>
                <w:color w:val="000000"/>
              </w:rPr>
            </w:pPr>
          </w:p>
          <w:p>
            <w:pPr>
              <w:autoSpaceDN w:val="0"/>
              <w:spacing w:line="560" w:lineRule="exact"/>
              <w:rPr>
                <w:color w:val="000000"/>
              </w:rPr>
            </w:pPr>
          </w:p>
          <w:p>
            <w:pPr>
              <w:autoSpaceDN w:val="0"/>
              <w:spacing w:line="560" w:lineRule="exact"/>
              <w:rPr>
                <w:color w:val="000000"/>
              </w:rPr>
            </w:pPr>
          </w:p>
          <w:p>
            <w:pPr>
              <w:autoSpaceDN w:val="0"/>
              <w:spacing w:line="560" w:lineRule="exact"/>
              <w:rPr>
                <w:color w:val="000000"/>
              </w:rPr>
            </w:pPr>
          </w:p>
          <w:p>
            <w:pPr>
              <w:tabs>
                <w:tab w:val="left" w:pos="8432"/>
              </w:tabs>
              <w:autoSpaceDN w:val="0"/>
              <w:spacing w:line="560" w:lineRule="exact"/>
              <w:ind w:right="841"/>
              <w:jc w:val="center"/>
              <w:rPr>
                <w:color w:val="000000"/>
              </w:rPr>
            </w:pPr>
            <w:r>
              <w:rPr>
                <w:color w:val="000000"/>
              </w:rPr>
              <w:t xml:space="preserve"> 负责人签字：          （申报地区人民政府公章）</w:t>
            </w:r>
          </w:p>
          <w:p>
            <w:pPr>
              <w:autoSpaceDN w:val="0"/>
              <w:spacing w:line="560" w:lineRule="exact"/>
              <w:rPr>
                <w:color w:val="000000"/>
              </w:rPr>
            </w:pPr>
            <w:r>
              <w:rPr>
                <w:color w:val="000000"/>
              </w:rPr>
              <w:t xml:space="preserve">                      </w:t>
            </w:r>
          </w:p>
          <w:p>
            <w:pPr>
              <w:autoSpaceDN w:val="0"/>
              <w:spacing w:line="560" w:lineRule="exact"/>
              <w:rPr>
                <w:color w:val="000000"/>
              </w:rPr>
            </w:pPr>
            <w:r>
              <w:rPr>
                <w:color w:val="000000"/>
              </w:rPr>
              <w:t xml:space="preserve">                             年    月    日</w:t>
            </w:r>
          </w:p>
        </w:tc>
      </w:tr>
      <w:tr>
        <w:tblPrEx>
          <w:tblLayout w:type="fixed"/>
          <w:tblCellMar>
            <w:top w:w="0" w:type="dxa"/>
            <w:left w:w="108" w:type="dxa"/>
            <w:bottom w:w="0" w:type="dxa"/>
            <w:right w:w="108" w:type="dxa"/>
          </w:tblCellMar>
        </w:tblPrEx>
        <w:trPr>
          <w:trHeight w:val="12904" w:hRule="atLeast"/>
          <w:jc w:val="center"/>
        </w:trPr>
        <w:tc>
          <w:tcPr>
            <w:tcW w:w="8648" w:type="dxa"/>
            <w:tcBorders>
              <w:top w:val="single" w:color="000000" w:sz="4" w:space="0"/>
              <w:left w:val="single" w:color="000000" w:sz="4" w:space="0"/>
              <w:bottom w:val="single" w:color="000000" w:sz="4" w:space="0"/>
              <w:right w:val="single" w:color="000000" w:sz="4" w:space="0"/>
            </w:tcBorders>
            <w:vAlign w:val="top"/>
          </w:tcPr>
          <w:p>
            <w:pPr>
              <w:autoSpaceDN w:val="0"/>
              <w:spacing w:line="560" w:lineRule="exact"/>
              <w:rPr>
                <w:color w:val="FF0000"/>
              </w:rPr>
            </w:pPr>
            <w:r>
              <w:rPr>
                <w:color w:val="000000"/>
              </w:rPr>
              <w:t xml:space="preserve"> 4．</w:t>
            </w:r>
            <w:r>
              <w:t>公共文化服务体系制度设计主要内容和预期成果</w:t>
            </w:r>
          </w:p>
          <w:p>
            <w:pPr>
              <w:autoSpaceDN w:val="0"/>
              <w:spacing w:line="560" w:lineRule="exact"/>
              <w:rPr>
                <w:color w:val="000000"/>
              </w:rPr>
            </w:pPr>
          </w:p>
          <w:p>
            <w:pPr>
              <w:autoSpaceDN w:val="0"/>
              <w:spacing w:line="560" w:lineRule="exact"/>
              <w:rPr>
                <w:color w:val="000000"/>
              </w:rPr>
            </w:pPr>
          </w:p>
          <w:p>
            <w:pPr>
              <w:autoSpaceDN w:val="0"/>
              <w:spacing w:line="560" w:lineRule="exact"/>
              <w:rPr>
                <w:color w:val="000000"/>
              </w:rPr>
            </w:pPr>
          </w:p>
          <w:p>
            <w:pPr>
              <w:autoSpaceDN w:val="0"/>
              <w:spacing w:line="560" w:lineRule="exact"/>
              <w:rPr>
                <w:color w:val="000000"/>
              </w:rPr>
            </w:pPr>
          </w:p>
          <w:p>
            <w:pPr>
              <w:autoSpaceDN w:val="0"/>
              <w:spacing w:line="560" w:lineRule="exact"/>
              <w:rPr>
                <w:color w:val="000000"/>
              </w:rPr>
            </w:pPr>
          </w:p>
          <w:p>
            <w:pPr>
              <w:autoSpaceDN w:val="0"/>
              <w:spacing w:line="560" w:lineRule="exact"/>
              <w:rPr>
                <w:color w:val="000000"/>
              </w:rPr>
            </w:pPr>
          </w:p>
          <w:p>
            <w:pPr>
              <w:autoSpaceDN w:val="0"/>
              <w:spacing w:line="560" w:lineRule="exact"/>
              <w:rPr>
                <w:color w:val="000000"/>
              </w:rPr>
            </w:pPr>
          </w:p>
          <w:p>
            <w:pPr>
              <w:autoSpaceDN w:val="0"/>
              <w:spacing w:line="560" w:lineRule="exact"/>
              <w:rPr>
                <w:color w:val="000000"/>
              </w:rPr>
            </w:pPr>
          </w:p>
          <w:p>
            <w:pPr>
              <w:autoSpaceDN w:val="0"/>
              <w:spacing w:line="560" w:lineRule="exact"/>
              <w:rPr>
                <w:color w:val="000000"/>
              </w:rPr>
            </w:pPr>
          </w:p>
          <w:p>
            <w:pPr>
              <w:autoSpaceDN w:val="0"/>
              <w:spacing w:line="560" w:lineRule="exact"/>
              <w:rPr>
                <w:color w:val="000000"/>
              </w:rPr>
            </w:pPr>
          </w:p>
          <w:p>
            <w:pPr>
              <w:autoSpaceDN w:val="0"/>
              <w:spacing w:line="560" w:lineRule="exact"/>
              <w:rPr>
                <w:color w:val="000000"/>
              </w:rPr>
            </w:pPr>
          </w:p>
          <w:p>
            <w:pPr>
              <w:autoSpaceDN w:val="0"/>
              <w:spacing w:line="560" w:lineRule="exact"/>
              <w:rPr>
                <w:color w:val="000000"/>
              </w:rPr>
            </w:pPr>
          </w:p>
          <w:p>
            <w:pPr>
              <w:autoSpaceDN w:val="0"/>
              <w:spacing w:line="560" w:lineRule="exact"/>
              <w:rPr>
                <w:color w:val="000000"/>
              </w:rPr>
            </w:pPr>
          </w:p>
          <w:p>
            <w:pPr>
              <w:autoSpaceDN w:val="0"/>
              <w:spacing w:line="560" w:lineRule="exact"/>
              <w:rPr>
                <w:color w:val="000000"/>
              </w:rPr>
            </w:pPr>
          </w:p>
          <w:p>
            <w:pPr>
              <w:autoSpaceDN w:val="0"/>
              <w:spacing w:line="560" w:lineRule="exact"/>
              <w:rPr>
                <w:color w:val="000000"/>
              </w:rPr>
            </w:pPr>
          </w:p>
          <w:p>
            <w:pPr>
              <w:autoSpaceDN w:val="0"/>
              <w:spacing w:line="560" w:lineRule="exact"/>
              <w:rPr>
                <w:color w:val="000000"/>
              </w:rPr>
            </w:pPr>
          </w:p>
          <w:p>
            <w:pPr>
              <w:wordWrap w:val="0"/>
              <w:autoSpaceDN w:val="0"/>
              <w:spacing w:line="560" w:lineRule="exact"/>
              <w:ind w:right="212"/>
              <w:jc w:val="center"/>
              <w:rPr>
                <w:color w:val="000000"/>
              </w:rPr>
            </w:pPr>
            <w:r>
              <w:rPr>
                <w:color w:val="000000"/>
              </w:rPr>
              <w:t xml:space="preserve"> （县级文化和旅游部门公章 ）  （申报地区人民政府公章）</w:t>
            </w:r>
          </w:p>
          <w:p>
            <w:pPr>
              <w:autoSpaceDN w:val="0"/>
              <w:spacing w:line="560" w:lineRule="exact"/>
              <w:ind w:firstLine="2727"/>
              <w:rPr>
                <w:color w:val="000000"/>
              </w:rPr>
            </w:pPr>
          </w:p>
          <w:p>
            <w:pPr>
              <w:autoSpaceDN w:val="0"/>
              <w:spacing w:line="560" w:lineRule="exact"/>
              <w:ind w:firstLine="2730"/>
              <w:rPr>
                <w:color w:val="000000"/>
              </w:rPr>
            </w:pPr>
            <w:r>
              <w:rPr>
                <w:color w:val="000000"/>
              </w:rPr>
              <w:t xml:space="preserve">     年    月    日</w:t>
            </w:r>
          </w:p>
        </w:tc>
      </w:tr>
      <w:tr>
        <w:tblPrEx>
          <w:tblLayout w:type="fixed"/>
          <w:tblCellMar>
            <w:top w:w="0" w:type="dxa"/>
            <w:left w:w="108" w:type="dxa"/>
            <w:bottom w:w="0" w:type="dxa"/>
            <w:right w:w="108" w:type="dxa"/>
          </w:tblCellMar>
        </w:tblPrEx>
        <w:trPr>
          <w:trHeight w:val="6085" w:hRule="atLeast"/>
          <w:jc w:val="center"/>
        </w:trPr>
        <w:tc>
          <w:tcPr>
            <w:tcW w:w="8648" w:type="dxa"/>
            <w:tcBorders>
              <w:top w:val="single" w:color="000000" w:sz="4" w:space="0"/>
              <w:left w:val="single" w:color="000000" w:sz="4" w:space="0"/>
              <w:bottom w:val="single" w:color="000000" w:sz="4" w:space="0"/>
              <w:right w:val="single" w:color="000000" w:sz="4" w:space="0"/>
            </w:tcBorders>
            <w:vAlign w:val="top"/>
          </w:tcPr>
          <w:p>
            <w:pPr>
              <w:autoSpaceDN w:val="0"/>
              <w:spacing w:line="560" w:lineRule="exact"/>
              <w:rPr>
                <w:color w:val="000000"/>
              </w:rPr>
            </w:pPr>
            <w:r>
              <w:rPr>
                <w:color w:val="000000"/>
              </w:rPr>
              <w:t xml:space="preserve"> 5．市州文化和旅游局、财政局推荐意见：</w:t>
            </w:r>
          </w:p>
          <w:p>
            <w:pPr>
              <w:autoSpaceDN w:val="0"/>
              <w:spacing w:line="560" w:lineRule="exact"/>
              <w:rPr>
                <w:color w:val="000000"/>
              </w:rPr>
            </w:pPr>
          </w:p>
          <w:p>
            <w:pPr>
              <w:autoSpaceDN w:val="0"/>
              <w:spacing w:line="560" w:lineRule="exact"/>
              <w:rPr>
                <w:color w:val="000000"/>
              </w:rPr>
            </w:pPr>
          </w:p>
          <w:p>
            <w:pPr>
              <w:autoSpaceDN w:val="0"/>
              <w:spacing w:line="560" w:lineRule="exact"/>
              <w:rPr>
                <w:color w:val="000000"/>
              </w:rPr>
            </w:pPr>
          </w:p>
          <w:p>
            <w:pPr>
              <w:autoSpaceDN w:val="0"/>
              <w:spacing w:line="560" w:lineRule="exact"/>
              <w:rPr>
                <w:color w:val="000000"/>
              </w:rPr>
            </w:pPr>
          </w:p>
          <w:p>
            <w:pPr>
              <w:autoSpaceDN w:val="0"/>
              <w:spacing w:line="560" w:lineRule="exact"/>
              <w:rPr>
                <w:color w:val="000000"/>
              </w:rPr>
            </w:pPr>
          </w:p>
          <w:p>
            <w:pPr>
              <w:autoSpaceDN w:val="0"/>
              <w:spacing w:line="560" w:lineRule="exact"/>
              <w:ind w:firstLine="420"/>
              <w:rPr>
                <w:color w:val="000000"/>
              </w:rPr>
            </w:pPr>
            <w:r>
              <w:rPr>
                <w:color w:val="000000"/>
              </w:rPr>
              <w:t>（市州文化和旅游局公章）         （市州财政厅局公章）</w:t>
            </w:r>
          </w:p>
          <w:p>
            <w:pPr>
              <w:autoSpaceDN w:val="0"/>
              <w:spacing w:line="560" w:lineRule="exact"/>
              <w:ind w:firstLine="420"/>
              <w:rPr>
                <w:color w:val="000000"/>
              </w:rPr>
            </w:pPr>
          </w:p>
          <w:p>
            <w:pPr>
              <w:autoSpaceDN w:val="0"/>
              <w:spacing w:line="560" w:lineRule="exact"/>
              <w:rPr>
                <w:color w:val="000000"/>
              </w:rPr>
            </w:pPr>
            <w:r>
              <w:rPr>
                <w:color w:val="000000"/>
              </w:rPr>
              <w:t xml:space="preserve">       年    月    日              年    月    日</w:t>
            </w:r>
          </w:p>
        </w:tc>
      </w:tr>
      <w:tr>
        <w:tblPrEx>
          <w:tblLayout w:type="fixed"/>
          <w:tblCellMar>
            <w:top w:w="0" w:type="dxa"/>
            <w:left w:w="108" w:type="dxa"/>
            <w:bottom w:w="0" w:type="dxa"/>
            <w:right w:w="108" w:type="dxa"/>
          </w:tblCellMar>
        </w:tblPrEx>
        <w:trPr>
          <w:trHeight w:val="6796" w:hRule="atLeast"/>
          <w:jc w:val="center"/>
        </w:trPr>
        <w:tc>
          <w:tcPr>
            <w:tcW w:w="8648" w:type="dxa"/>
            <w:tcBorders>
              <w:top w:val="single" w:color="000000" w:sz="4" w:space="0"/>
              <w:left w:val="single" w:color="000000" w:sz="4" w:space="0"/>
              <w:bottom w:val="single" w:color="000000" w:sz="4" w:space="0"/>
              <w:right w:val="single" w:color="000000" w:sz="4" w:space="0"/>
            </w:tcBorders>
            <w:vAlign w:val="top"/>
          </w:tcPr>
          <w:p>
            <w:pPr>
              <w:autoSpaceDN w:val="0"/>
              <w:spacing w:line="560" w:lineRule="exact"/>
              <w:rPr>
                <w:color w:val="000000"/>
              </w:rPr>
            </w:pPr>
            <w:r>
              <w:rPr>
                <w:color w:val="000000"/>
              </w:rPr>
              <w:t xml:space="preserve"> 6．市州人民政府意见：</w:t>
            </w:r>
          </w:p>
          <w:p>
            <w:pPr>
              <w:autoSpaceDN w:val="0"/>
              <w:spacing w:line="560" w:lineRule="exact"/>
              <w:rPr>
                <w:color w:val="000000"/>
              </w:rPr>
            </w:pPr>
          </w:p>
          <w:p>
            <w:pPr>
              <w:autoSpaceDN w:val="0"/>
              <w:spacing w:line="560" w:lineRule="exact"/>
              <w:rPr>
                <w:color w:val="000000"/>
              </w:rPr>
            </w:pPr>
          </w:p>
          <w:p>
            <w:pPr>
              <w:autoSpaceDN w:val="0"/>
              <w:spacing w:line="560" w:lineRule="exact"/>
              <w:rPr>
                <w:color w:val="000000"/>
              </w:rPr>
            </w:pPr>
          </w:p>
          <w:p>
            <w:pPr>
              <w:autoSpaceDN w:val="0"/>
              <w:spacing w:line="560" w:lineRule="exact"/>
              <w:rPr>
                <w:color w:val="000000"/>
              </w:rPr>
            </w:pPr>
          </w:p>
          <w:p>
            <w:pPr>
              <w:autoSpaceDN w:val="0"/>
              <w:spacing w:line="560" w:lineRule="exact"/>
              <w:rPr>
                <w:color w:val="000000"/>
              </w:rPr>
            </w:pPr>
          </w:p>
          <w:p>
            <w:pPr>
              <w:autoSpaceDN w:val="0"/>
              <w:spacing w:line="560" w:lineRule="exact"/>
              <w:rPr>
                <w:color w:val="000000"/>
              </w:rPr>
            </w:pPr>
            <w:r>
              <w:rPr>
                <w:color w:val="000000"/>
              </w:rPr>
              <w:t xml:space="preserve">                                    （公  章）</w:t>
            </w:r>
          </w:p>
          <w:p>
            <w:pPr>
              <w:autoSpaceDN w:val="0"/>
              <w:spacing w:line="560" w:lineRule="exact"/>
              <w:rPr>
                <w:color w:val="000000"/>
              </w:rPr>
            </w:pPr>
          </w:p>
          <w:p>
            <w:pPr>
              <w:autoSpaceDN w:val="0"/>
              <w:spacing w:line="560" w:lineRule="exact"/>
              <w:ind w:right="480" w:firstLine="210"/>
              <w:jc w:val="right"/>
              <w:rPr>
                <w:color w:val="000000"/>
              </w:rPr>
            </w:pPr>
            <w:r>
              <w:rPr>
                <w:color w:val="000000"/>
              </w:rPr>
              <w:t xml:space="preserve">    年    月    日</w:t>
            </w:r>
          </w:p>
          <w:p>
            <w:pPr>
              <w:autoSpaceDN w:val="0"/>
              <w:spacing w:line="560" w:lineRule="exact"/>
              <w:ind w:right="482" w:firstLine="210"/>
              <w:jc w:val="right"/>
              <w:rPr>
                <w:color w:val="000000"/>
              </w:rPr>
            </w:pPr>
          </w:p>
        </w:tc>
      </w:tr>
      <w:tr>
        <w:tblPrEx>
          <w:tblLayout w:type="fixed"/>
          <w:tblCellMar>
            <w:top w:w="0" w:type="dxa"/>
            <w:left w:w="108" w:type="dxa"/>
            <w:bottom w:w="0" w:type="dxa"/>
            <w:right w:w="108" w:type="dxa"/>
          </w:tblCellMar>
        </w:tblPrEx>
        <w:trPr>
          <w:trHeight w:val="12820" w:hRule="atLeast"/>
          <w:jc w:val="center"/>
        </w:trPr>
        <w:tc>
          <w:tcPr>
            <w:tcW w:w="8648" w:type="dxa"/>
            <w:tcBorders>
              <w:top w:val="single" w:color="000000" w:sz="4" w:space="0"/>
              <w:left w:val="single" w:color="000000" w:sz="4" w:space="0"/>
              <w:bottom w:val="single" w:color="000000" w:sz="4" w:space="0"/>
              <w:right w:val="single" w:color="000000" w:sz="4" w:space="0"/>
            </w:tcBorders>
            <w:vAlign w:val="top"/>
          </w:tcPr>
          <w:p>
            <w:pPr>
              <w:autoSpaceDN w:val="0"/>
              <w:spacing w:line="560" w:lineRule="exact"/>
              <w:rPr>
                <w:color w:val="000000"/>
              </w:rPr>
            </w:pPr>
            <w:r>
              <w:rPr>
                <w:color w:val="000000"/>
              </w:rPr>
              <w:t xml:space="preserve"> 7．专家委员会审查意见：</w:t>
            </w:r>
          </w:p>
          <w:p>
            <w:pPr>
              <w:autoSpaceDN w:val="0"/>
              <w:spacing w:line="560" w:lineRule="exact"/>
              <w:rPr>
                <w:color w:val="000000"/>
              </w:rPr>
            </w:pPr>
          </w:p>
          <w:p>
            <w:pPr>
              <w:autoSpaceDN w:val="0"/>
              <w:spacing w:line="560" w:lineRule="exact"/>
              <w:rPr>
                <w:color w:val="000000"/>
              </w:rPr>
            </w:pPr>
          </w:p>
          <w:p>
            <w:pPr>
              <w:autoSpaceDN w:val="0"/>
              <w:spacing w:line="560" w:lineRule="exact"/>
              <w:rPr>
                <w:color w:val="000000"/>
              </w:rPr>
            </w:pPr>
          </w:p>
          <w:p>
            <w:pPr>
              <w:autoSpaceDN w:val="0"/>
              <w:spacing w:line="560" w:lineRule="exact"/>
              <w:rPr>
                <w:color w:val="000000"/>
              </w:rPr>
            </w:pPr>
          </w:p>
          <w:p>
            <w:pPr>
              <w:autoSpaceDN w:val="0"/>
              <w:spacing w:line="560" w:lineRule="exact"/>
              <w:rPr>
                <w:color w:val="000000"/>
              </w:rPr>
            </w:pPr>
          </w:p>
          <w:p>
            <w:pPr>
              <w:autoSpaceDN w:val="0"/>
              <w:spacing w:line="560" w:lineRule="exact"/>
              <w:rPr>
                <w:color w:val="000000"/>
              </w:rPr>
            </w:pPr>
          </w:p>
          <w:p>
            <w:pPr>
              <w:autoSpaceDN w:val="0"/>
              <w:spacing w:line="560" w:lineRule="exact"/>
              <w:rPr>
                <w:color w:val="000000"/>
              </w:rPr>
            </w:pPr>
          </w:p>
          <w:p>
            <w:pPr>
              <w:autoSpaceDN w:val="0"/>
              <w:spacing w:line="560" w:lineRule="exact"/>
              <w:rPr>
                <w:color w:val="000000"/>
              </w:rPr>
            </w:pPr>
          </w:p>
          <w:p>
            <w:pPr>
              <w:autoSpaceDN w:val="0"/>
              <w:spacing w:line="560" w:lineRule="exact"/>
              <w:rPr>
                <w:color w:val="000000"/>
              </w:rPr>
            </w:pPr>
          </w:p>
          <w:p>
            <w:pPr>
              <w:autoSpaceDN w:val="0"/>
              <w:spacing w:line="560" w:lineRule="exact"/>
              <w:rPr>
                <w:color w:val="000000"/>
              </w:rPr>
            </w:pPr>
          </w:p>
          <w:p>
            <w:pPr>
              <w:autoSpaceDN w:val="0"/>
              <w:spacing w:line="560" w:lineRule="exact"/>
              <w:rPr>
                <w:color w:val="000000"/>
              </w:rPr>
            </w:pPr>
          </w:p>
          <w:p>
            <w:pPr>
              <w:autoSpaceDN w:val="0"/>
              <w:spacing w:line="560" w:lineRule="exact"/>
              <w:rPr>
                <w:color w:val="000000"/>
              </w:rPr>
            </w:pPr>
          </w:p>
          <w:p>
            <w:pPr>
              <w:autoSpaceDN w:val="0"/>
              <w:spacing w:line="560" w:lineRule="exact"/>
              <w:rPr>
                <w:color w:val="000000"/>
              </w:rPr>
            </w:pPr>
          </w:p>
          <w:p>
            <w:pPr>
              <w:autoSpaceDN w:val="0"/>
              <w:spacing w:line="560" w:lineRule="exact"/>
              <w:rPr>
                <w:color w:val="000000"/>
              </w:rPr>
            </w:pPr>
          </w:p>
          <w:p>
            <w:pPr>
              <w:autoSpaceDN w:val="0"/>
              <w:spacing w:line="560" w:lineRule="exact"/>
              <w:rPr>
                <w:color w:val="000000"/>
              </w:rPr>
            </w:pPr>
          </w:p>
          <w:p>
            <w:pPr>
              <w:autoSpaceDN w:val="0"/>
              <w:spacing w:line="560" w:lineRule="exact"/>
              <w:rPr>
                <w:color w:val="000000"/>
              </w:rPr>
            </w:pPr>
          </w:p>
          <w:p>
            <w:pPr>
              <w:autoSpaceDN w:val="0"/>
              <w:spacing w:line="560" w:lineRule="exact"/>
              <w:ind w:right="960"/>
              <w:jc w:val="right"/>
              <w:rPr>
                <w:color w:val="000000"/>
              </w:rPr>
            </w:pPr>
            <w:r>
              <w:rPr>
                <w:color w:val="000000"/>
              </w:rPr>
              <w:t xml:space="preserve">   </w:t>
            </w:r>
          </w:p>
          <w:p>
            <w:pPr>
              <w:autoSpaceDN w:val="0"/>
              <w:spacing w:line="560" w:lineRule="exact"/>
              <w:rPr>
                <w:color w:val="000000"/>
              </w:rPr>
            </w:pPr>
            <w:r>
              <w:rPr>
                <w:color w:val="000000"/>
              </w:rPr>
              <w:t xml:space="preserve"> 专家委员会负责人签字：               年    月    日</w:t>
            </w:r>
          </w:p>
          <w:p>
            <w:pPr>
              <w:autoSpaceDN w:val="0"/>
              <w:spacing w:line="560" w:lineRule="exact"/>
              <w:ind w:firstLine="210"/>
              <w:rPr>
                <w:color w:val="000000"/>
              </w:rPr>
            </w:pPr>
          </w:p>
        </w:tc>
      </w:tr>
      <w:tr>
        <w:tblPrEx>
          <w:tblLayout w:type="fixed"/>
          <w:tblCellMar>
            <w:top w:w="0" w:type="dxa"/>
            <w:left w:w="108" w:type="dxa"/>
            <w:bottom w:w="0" w:type="dxa"/>
            <w:right w:w="108" w:type="dxa"/>
          </w:tblCellMar>
        </w:tblPrEx>
        <w:trPr>
          <w:trHeight w:val="6085" w:hRule="atLeast"/>
          <w:jc w:val="center"/>
        </w:trPr>
        <w:tc>
          <w:tcPr>
            <w:tcW w:w="8648" w:type="dxa"/>
            <w:tcBorders>
              <w:top w:val="single" w:color="000000" w:sz="4" w:space="0"/>
              <w:left w:val="single" w:color="000000" w:sz="4" w:space="0"/>
              <w:bottom w:val="single" w:color="000000" w:sz="4" w:space="0"/>
              <w:right w:val="single" w:color="000000" w:sz="4" w:space="0"/>
            </w:tcBorders>
            <w:vAlign w:val="top"/>
          </w:tcPr>
          <w:p>
            <w:pPr>
              <w:autoSpaceDN w:val="0"/>
              <w:spacing w:line="560" w:lineRule="exact"/>
              <w:rPr>
                <w:color w:val="000000"/>
              </w:rPr>
            </w:pPr>
            <w:r>
              <w:rPr>
                <w:color w:val="000000"/>
              </w:rPr>
              <w:t xml:space="preserve"> 8．创建工作领导小组办公室意见：</w:t>
            </w:r>
          </w:p>
          <w:p>
            <w:pPr>
              <w:autoSpaceDN w:val="0"/>
              <w:spacing w:line="560" w:lineRule="exact"/>
              <w:rPr>
                <w:color w:val="000000"/>
              </w:rPr>
            </w:pPr>
          </w:p>
          <w:p>
            <w:pPr>
              <w:autoSpaceDN w:val="0"/>
              <w:spacing w:line="560" w:lineRule="exact"/>
              <w:ind w:firstLine="280"/>
              <w:rPr>
                <w:color w:val="000000"/>
              </w:rPr>
            </w:pPr>
          </w:p>
          <w:p>
            <w:pPr>
              <w:autoSpaceDN w:val="0"/>
              <w:spacing w:line="560" w:lineRule="exact"/>
              <w:rPr>
                <w:color w:val="000000"/>
              </w:rPr>
            </w:pPr>
          </w:p>
          <w:p>
            <w:pPr>
              <w:autoSpaceDN w:val="0"/>
              <w:spacing w:line="560" w:lineRule="exact"/>
              <w:rPr>
                <w:color w:val="000000"/>
              </w:rPr>
            </w:pPr>
          </w:p>
          <w:p>
            <w:pPr>
              <w:autoSpaceDN w:val="0"/>
              <w:spacing w:line="560" w:lineRule="exact"/>
              <w:rPr>
                <w:color w:val="000000"/>
              </w:rPr>
            </w:pPr>
          </w:p>
          <w:p>
            <w:pPr>
              <w:autoSpaceDN w:val="0"/>
              <w:spacing w:line="560" w:lineRule="exact"/>
              <w:rPr>
                <w:color w:val="000000"/>
              </w:rPr>
            </w:pPr>
            <w:r>
              <w:rPr>
                <w:color w:val="000000"/>
                <w:sz w:val="28"/>
              </w:rPr>
              <w:t xml:space="preserve"> </w:t>
            </w:r>
            <w:r>
              <w:rPr>
                <w:color w:val="000000"/>
              </w:rPr>
              <w:t>负责人签字：</w:t>
            </w:r>
            <w:r>
              <w:rPr>
                <w:color w:val="000000"/>
                <w:sz w:val="28"/>
              </w:rPr>
              <w:t xml:space="preserve">               </w:t>
            </w:r>
            <w:r>
              <w:rPr>
                <w:color w:val="000000"/>
              </w:rPr>
              <w:t xml:space="preserve">   （公   章）</w:t>
            </w:r>
          </w:p>
          <w:p>
            <w:pPr>
              <w:autoSpaceDN w:val="0"/>
              <w:spacing w:line="560" w:lineRule="exact"/>
              <w:rPr>
                <w:color w:val="000000"/>
              </w:rPr>
            </w:pPr>
          </w:p>
          <w:p>
            <w:pPr>
              <w:autoSpaceDN w:val="0"/>
              <w:spacing w:line="560" w:lineRule="exact"/>
              <w:ind w:firstLine="280"/>
              <w:rPr>
                <w:color w:val="000000"/>
              </w:rPr>
            </w:pPr>
            <w:r>
              <w:rPr>
                <w:color w:val="000000"/>
                <w:sz w:val="28"/>
              </w:rPr>
              <w:t xml:space="preserve"> </w:t>
            </w:r>
            <w:r>
              <w:rPr>
                <w:color w:val="000000"/>
              </w:rPr>
              <w:t xml:space="preserve">   </w:t>
            </w:r>
            <w:r>
              <w:rPr>
                <w:color w:val="000000"/>
                <w:sz w:val="28"/>
              </w:rPr>
              <w:t xml:space="preserve">                        </w:t>
            </w:r>
            <w:r>
              <w:rPr>
                <w:color w:val="000000"/>
              </w:rPr>
              <w:t xml:space="preserve">  年   月   日</w:t>
            </w:r>
          </w:p>
          <w:p>
            <w:pPr>
              <w:autoSpaceDN w:val="0"/>
              <w:spacing w:line="560" w:lineRule="exact"/>
              <w:ind w:firstLine="278"/>
              <w:rPr>
                <w:color w:val="000000"/>
              </w:rPr>
            </w:pPr>
          </w:p>
        </w:tc>
      </w:tr>
      <w:tr>
        <w:tblPrEx>
          <w:tblLayout w:type="fixed"/>
          <w:tblCellMar>
            <w:top w:w="0" w:type="dxa"/>
            <w:left w:w="108" w:type="dxa"/>
            <w:bottom w:w="0" w:type="dxa"/>
            <w:right w:w="108" w:type="dxa"/>
          </w:tblCellMar>
        </w:tblPrEx>
        <w:trPr>
          <w:trHeight w:val="6810" w:hRule="atLeast"/>
          <w:jc w:val="center"/>
        </w:trPr>
        <w:tc>
          <w:tcPr>
            <w:tcW w:w="8648" w:type="dxa"/>
            <w:tcBorders>
              <w:top w:val="single" w:color="000000" w:sz="4" w:space="0"/>
              <w:left w:val="single" w:color="000000" w:sz="4" w:space="0"/>
              <w:bottom w:val="single" w:color="000000" w:sz="4" w:space="0"/>
              <w:right w:val="single" w:color="000000" w:sz="4" w:space="0"/>
            </w:tcBorders>
            <w:vAlign w:val="top"/>
          </w:tcPr>
          <w:p>
            <w:pPr>
              <w:autoSpaceDN w:val="0"/>
              <w:spacing w:line="560" w:lineRule="exact"/>
              <w:ind w:firstLine="210"/>
              <w:rPr>
                <w:color w:val="000000"/>
              </w:rPr>
            </w:pPr>
            <w:r>
              <w:rPr>
                <w:color w:val="000000"/>
              </w:rPr>
              <w:t>9．省文化和旅游厅、省财政厅审核意见：</w:t>
            </w:r>
          </w:p>
          <w:p>
            <w:pPr>
              <w:autoSpaceDN w:val="0"/>
              <w:spacing w:line="560" w:lineRule="exact"/>
              <w:ind w:firstLine="210"/>
              <w:rPr>
                <w:color w:val="000000"/>
              </w:rPr>
            </w:pPr>
          </w:p>
          <w:p>
            <w:pPr>
              <w:autoSpaceDN w:val="0"/>
              <w:spacing w:line="560" w:lineRule="exact"/>
              <w:rPr>
                <w:color w:val="000000"/>
              </w:rPr>
            </w:pPr>
          </w:p>
          <w:p>
            <w:pPr>
              <w:autoSpaceDN w:val="0"/>
              <w:spacing w:line="560" w:lineRule="exact"/>
              <w:rPr>
                <w:color w:val="000000"/>
              </w:rPr>
            </w:pPr>
          </w:p>
          <w:p>
            <w:pPr>
              <w:autoSpaceDN w:val="0"/>
              <w:spacing w:line="560" w:lineRule="exact"/>
              <w:ind w:firstLine="210"/>
              <w:rPr>
                <w:color w:val="000000"/>
              </w:rPr>
            </w:pPr>
          </w:p>
          <w:p>
            <w:pPr>
              <w:autoSpaceDN w:val="0"/>
              <w:spacing w:line="560" w:lineRule="exact"/>
              <w:ind w:firstLine="210"/>
              <w:rPr>
                <w:color w:val="000000"/>
              </w:rPr>
            </w:pPr>
          </w:p>
          <w:p>
            <w:pPr>
              <w:autoSpaceDN w:val="0"/>
              <w:spacing w:line="560" w:lineRule="exact"/>
              <w:ind w:firstLine="420"/>
              <w:rPr>
                <w:color w:val="000000"/>
              </w:rPr>
            </w:pPr>
            <w:r>
              <w:rPr>
                <w:color w:val="000000"/>
              </w:rPr>
              <w:t xml:space="preserve"> （省文化和旅游厅公章）            （省财政厅公章）</w:t>
            </w:r>
          </w:p>
          <w:p>
            <w:pPr>
              <w:autoSpaceDN w:val="0"/>
              <w:spacing w:line="560" w:lineRule="exact"/>
              <w:ind w:firstLine="420"/>
              <w:rPr>
                <w:color w:val="000000"/>
              </w:rPr>
            </w:pPr>
          </w:p>
          <w:p>
            <w:pPr>
              <w:autoSpaceDN w:val="0"/>
              <w:spacing w:line="560" w:lineRule="exact"/>
              <w:ind w:firstLine="210"/>
              <w:rPr>
                <w:color w:val="000000"/>
              </w:rPr>
            </w:pPr>
            <w:r>
              <w:rPr>
                <w:color w:val="000000"/>
              </w:rPr>
              <w:t xml:space="preserve">     年    月    日               年    月    日</w:t>
            </w:r>
          </w:p>
          <w:p>
            <w:pPr>
              <w:autoSpaceDN w:val="0"/>
              <w:spacing w:line="560" w:lineRule="exact"/>
              <w:ind w:firstLine="210"/>
              <w:rPr>
                <w:color w:val="000000"/>
              </w:rPr>
            </w:pPr>
          </w:p>
        </w:tc>
      </w:tr>
    </w:tbl>
    <w:p>
      <w:pPr>
        <w:spacing w:line="560" w:lineRule="exact"/>
      </w:pPr>
    </w:p>
    <w:p>
      <w:pPr>
        <w:adjustRightInd w:val="0"/>
        <w:snapToGrid w:val="0"/>
        <w:spacing w:line="600" w:lineRule="exact"/>
        <w:ind w:firstLine="640"/>
      </w:pPr>
    </w:p>
    <w:p>
      <w:pPr>
        <w:adjustRightInd w:val="0"/>
        <w:snapToGrid w:val="0"/>
        <w:spacing w:line="600" w:lineRule="exact"/>
        <w:ind w:firstLine="640"/>
      </w:pPr>
    </w:p>
    <w:p>
      <w:pPr>
        <w:adjustRightInd w:val="0"/>
        <w:snapToGrid w:val="0"/>
        <w:spacing w:line="600" w:lineRule="exact"/>
        <w:ind w:firstLine="640"/>
      </w:pPr>
    </w:p>
    <w:p>
      <w:pPr>
        <w:adjustRightInd w:val="0"/>
        <w:snapToGrid w:val="0"/>
        <w:spacing w:line="600" w:lineRule="exact"/>
        <w:ind w:firstLine="640"/>
      </w:pPr>
    </w:p>
    <w:p>
      <w:pPr>
        <w:adjustRightInd w:val="0"/>
        <w:snapToGrid w:val="0"/>
        <w:spacing w:line="600" w:lineRule="exact"/>
        <w:ind w:firstLine="640"/>
      </w:pPr>
    </w:p>
    <w:p>
      <w:pPr>
        <w:adjustRightInd w:val="0"/>
        <w:snapToGrid w:val="0"/>
        <w:spacing w:line="600" w:lineRule="exact"/>
        <w:ind w:firstLine="640"/>
      </w:pPr>
    </w:p>
    <w:p>
      <w:pPr>
        <w:adjustRightInd w:val="0"/>
        <w:snapToGrid w:val="0"/>
        <w:spacing w:line="600" w:lineRule="exact"/>
        <w:ind w:firstLine="640"/>
      </w:pPr>
    </w:p>
    <w:p>
      <w:pPr>
        <w:adjustRightInd w:val="0"/>
        <w:snapToGrid w:val="0"/>
        <w:spacing w:line="600" w:lineRule="exact"/>
        <w:ind w:firstLine="640"/>
      </w:pPr>
    </w:p>
    <w:p>
      <w:pPr>
        <w:adjustRightInd w:val="0"/>
        <w:snapToGrid w:val="0"/>
        <w:spacing w:line="600" w:lineRule="exact"/>
        <w:ind w:firstLine="640"/>
      </w:pPr>
    </w:p>
    <w:p>
      <w:pPr>
        <w:adjustRightInd w:val="0"/>
        <w:snapToGrid w:val="0"/>
        <w:spacing w:line="600" w:lineRule="exact"/>
        <w:ind w:firstLine="640"/>
      </w:pPr>
    </w:p>
    <w:p>
      <w:pPr>
        <w:adjustRightInd w:val="0"/>
        <w:snapToGrid w:val="0"/>
        <w:spacing w:line="600" w:lineRule="exact"/>
        <w:ind w:firstLine="640"/>
      </w:pPr>
    </w:p>
    <w:p>
      <w:pPr>
        <w:adjustRightInd w:val="0"/>
        <w:snapToGrid w:val="0"/>
        <w:spacing w:line="600" w:lineRule="exact"/>
        <w:ind w:firstLine="640"/>
      </w:pPr>
    </w:p>
    <w:p>
      <w:pPr>
        <w:adjustRightInd w:val="0"/>
        <w:snapToGrid w:val="0"/>
        <w:spacing w:line="600" w:lineRule="exact"/>
        <w:ind w:firstLine="640"/>
      </w:pPr>
    </w:p>
    <w:p>
      <w:pPr>
        <w:adjustRightInd w:val="0"/>
        <w:snapToGrid w:val="0"/>
        <w:spacing w:line="600" w:lineRule="exact"/>
        <w:ind w:firstLine="640"/>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rPr>
          <w:shd w:val="clear" w:color="auto" w:fill="FFFFFF"/>
        </w:rPr>
      </w:pPr>
    </w:p>
    <w:p>
      <w:pPr>
        <w:spacing w:line="20" w:lineRule="exact"/>
        <w:rPr>
          <w:shd w:val="clear" w:color="auto" w:fill="FFFFFF"/>
        </w:rPr>
      </w:pPr>
    </w:p>
    <w:p>
      <w:pPr>
        <w:spacing w:line="20" w:lineRule="exact"/>
        <w:rPr>
          <w:shd w:val="clear" w:color="auto" w:fill="FFFFFF"/>
        </w:rPr>
      </w:pPr>
    </w:p>
    <w:p>
      <w:pPr>
        <w:spacing w:line="20" w:lineRule="exact"/>
        <w:rPr>
          <w:shd w:val="clear" w:color="auto" w:fill="FFFFFF"/>
        </w:rPr>
      </w:pPr>
    </w:p>
    <w:p>
      <w:pPr>
        <w:spacing w:line="20" w:lineRule="exact"/>
        <w:rPr>
          <w:shd w:val="clear" w:color="auto" w:fill="FFFFFF"/>
        </w:rPr>
      </w:pPr>
    </w:p>
    <w:p>
      <w:pPr>
        <w:spacing w:line="20" w:lineRule="exact"/>
        <w:rPr>
          <w:shd w:val="clear" w:color="auto" w:fill="FFFFFF"/>
        </w:rPr>
      </w:pPr>
    </w:p>
    <w:p>
      <w:pPr>
        <w:spacing w:line="20" w:lineRule="exact"/>
        <w:rPr>
          <w:shd w:val="clear" w:color="auto" w:fill="FFFFFF"/>
        </w:rPr>
      </w:pPr>
    </w:p>
    <w:p>
      <w:pPr>
        <w:spacing w:line="20" w:lineRule="exact"/>
        <w:rPr>
          <w:shd w:val="clear" w:color="auto" w:fill="FFFFFF"/>
        </w:rPr>
      </w:pPr>
    </w:p>
    <w:p>
      <w:pPr>
        <w:spacing w:line="20" w:lineRule="exact"/>
        <w:rPr>
          <w:shd w:val="clear" w:color="auto" w:fill="FFFFFF"/>
        </w:rPr>
      </w:pPr>
    </w:p>
    <w:p>
      <w:pPr>
        <w:spacing w:line="20" w:lineRule="exact"/>
        <w:rPr>
          <w:shd w:val="clear" w:color="auto" w:fill="FFFFFF"/>
        </w:rPr>
      </w:pPr>
    </w:p>
    <w:p>
      <w:pPr>
        <w:spacing w:line="20" w:lineRule="exact"/>
        <w:rPr>
          <w:shd w:val="clear" w:color="auto" w:fill="FFFFFF"/>
        </w:rPr>
      </w:pPr>
    </w:p>
    <w:p>
      <w:pPr>
        <w:spacing w:line="20" w:lineRule="exact"/>
        <w:rPr>
          <w:shd w:val="clear" w:color="auto" w:fill="FFFFFF"/>
        </w:rPr>
      </w:pPr>
    </w:p>
    <w:p>
      <w:pPr>
        <w:spacing w:line="20" w:lineRule="exact"/>
        <w:rPr>
          <w:shd w:val="clear" w:color="auto" w:fill="FFFFFF"/>
        </w:rPr>
      </w:pPr>
    </w:p>
    <w:p>
      <w:pPr>
        <w:spacing w:line="20" w:lineRule="exact"/>
        <w:rPr>
          <w:shd w:val="clear" w:color="auto" w:fill="FFFFFF"/>
        </w:rPr>
      </w:pPr>
    </w:p>
    <w:p>
      <w:pPr>
        <w:spacing w:line="20" w:lineRule="exact"/>
        <w:rPr>
          <w:shd w:val="clear" w:color="auto" w:fill="FFFFFF"/>
        </w:rPr>
      </w:pPr>
    </w:p>
    <w:p>
      <w:pPr>
        <w:spacing w:line="20" w:lineRule="exact"/>
        <w:rPr>
          <w:shd w:val="clear" w:color="auto" w:fill="FFFFFF"/>
        </w:rPr>
      </w:pPr>
    </w:p>
    <w:p>
      <w:pPr>
        <w:spacing w:line="20" w:lineRule="exact"/>
        <w:rPr>
          <w:shd w:val="clear" w:color="auto" w:fill="FFFFFF"/>
        </w:rPr>
      </w:pPr>
    </w:p>
    <w:p>
      <w:pPr>
        <w:spacing w:line="20" w:lineRule="exact"/>
        <w:rPr>
          <w:shd w:val="clear" w:color="auto" w:fill="FFFFFF"/>
        </w:rPr>
      </w:pPr>
    </w:p>
    <w:p>
      <w:pPr>
        <w:spacing w:line="20" w:lineRule="exact"/>
        <w:rPr>
          <w:shd w:val="clear" w:color="auto" w:fill="FFFFFF"/>
        </w:rPr>
      </w:pPr>
    </w:p>
    <w:p>
      <w:pPr>
        <w:spacing w:line="20" w:lineRule="exact"/>
        <w:rPr>
          <w:shd w:val="clear" w:color="auto" w:fill="FFFFFF"/>
        </w:rPr>
      </w:pPr>
    </w:p>
    <w:p>
      <w:pPr>
        <w:spacing w:line="20" w:lineRule="exact"/>
        <w:rPr>
          <w:shd w:val="clear" w:color="auto" w:fill="FFFFFF"/>
        </w:rPr>
      </w:pPr>
    </w:p>
    <w:p>
      <w:pPr>
        <w:spacing w:line="20" w:lineRule="exact"/>
        <w:rPr>
          <w:shd w:val="clear" w:color="auto" w:fill="FFFFFF"/>
        </w:rPr>
      </w:pPr>
    </w:p>
    <w:p>
      <w:pPr>
        <w:spacing w:line="20" w:lineRule="exact"/>
        <w:rPr>
          <w:shd w:val="clear" w:color="auto" w:fill="FFFFFF"/>
        </w:rPr>
      </w:pPr>
    </w:p>
    <w:p>
      <w:pPr>
        <w:spacing w:line="40" w:lineRule="exact"/>
        <w:rPr>
          <w:shd w:val="clear" w:color="auto" w:fill="FFFFFF"/>
        </w:rPr>
      </w:pPr>
    </w:p>
    <w:tbl>
      <w:tblPr>
        <w:tblStyle w:val="5"/>
        <w:tblW w:w="8847" w:type="dxa"/>
        <w:jc w:val="center"/>
        <w:tblInd w:w="0" w:type="dxa"/>
        <w:tblBorders>
          <w:top w:val="single" w:color="auto" w:sz="6" w:space="0"/>
          <w:left w:val="none" w:color="auto" w:sz="0" w:space="0"/>
          <w:bottom w:val="single" w:color="auto" w:sz="6"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847"/>
      </w:tblGrid>
      <w:tr>
        <w:tblPrEx>
          <w:tblBorders>
            <w:top w:val="single" w:color="auto" w:sz="6" w:space="0"/>
            <w:left w:val="none" w:color="auto" w:sz="0" w:space="0"/>
            <w:bottom w:val="single" w:color="auto" w:sz="6"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18" w:hRule="atLeast"/>
          <w:jc w:val="center"/>
        </w:trPr>
        <w:tc>
          <w:tcPr>
            <w:tcW w:w="8847" w:type="dxa"/>
            <w:vAlign w:val="center"/>
          </w:tcPr>
          <w:p>
            <w:pPr>
              <w:spacing w:line="360" w:lineRule="exact"/>
              <w:ind w:firstLine="272" w:firstLineChars="100"/>
              <w:rPr>
                <w:sz w:val="28"/>
                <w:szCs w:val="28"/>
                <w:shd w:val="clear" w:color="auto" w:fill="FFFFFF"/>
              </w:rPr>
            </w:pPr>
            <w:r>
              <w:rPr>
                <w:sz w:val="28"/>
                <w:szCs w:val="28"/>
                <w:shd w:val="clear" w:color="auto" w:fill="FFFFFF"/>
              </w:rPr>
              <w:t xml:space="preserve">湖北省文化和旅游厅办公室   　　　      </w:t>
            </w:r>
            <w:r>
              <w:rPr>
                <w:rFonts w:hint="eastAsia"/>
                <w:sz w:val="28"/>
                <w:szCs w:val="28"/>
                <w:shd w:val="clear" w:color="auto" w:fill="FFFFFF"/>
              </w:rPr>
              <w:t xml:space="preserve">  </w:t>
            </w:r>
            <w:r>
              <w:rPr>
                <w:sz w:val="28"/>
                <w:szCs w:val="28"/>
                <w:shd w:val="clear" w:color="auto" w:fill="FFFFFF"/>
              </w:rPr>
              <w:t>2020年</w:t>
            </w:r>
            <w:r>
              <w:rPr>
                <w:rFonts w:hint="eastAsia"/>
                <w:sz w:val="28"/>
                <w:szCs w:val="28"/>
                <w:shd w:val="clear" w:color="auto" w:fill="FFFFFF"/>
              </w:rPr>
              <w:t>12</w:t>
            </w:r>
            <w:r>
              <w:rPr>
                <w:sz w:val="28"/>
                <w:szCs w:val="28"/>
                <w:shd w:val="clear" w:color="auto" w:fill="FFFFFF"/>
              </w:rPr>
              <w:t>月</w:t>
            </w:r>
            <w:r>
              <w:rPr>
                <w:rFonts w:hint="eastAsia"/>
                <w:sz w:val="28"/>
                <w:szCs w:val="28"/>
                <w:shd w:val="clear" w:color="auto" w:fill="FFFFFF"/>
              </w:rPr>
              <w:t>2</w:t>
            </w:r>
            <w:r>
              <w:rPr>
                <w:sz w:val="28"/>
                <w:szCs w:val="28"/>
                <w:shd w:val="clear" w:color="auto" w:fill="FFFFFF"/>
              </w:rPr>
              <w:t>2日印发　</w:t>
            </w:r>
          </w:p>
        </w:tc>
      </w:tr>
    </w:tbl>
    <w:p>
      <w:pPr>
        <w:spacing w:before="57" w:beforeLines="10" w:line="360" w:lineRule="exact"/>
        <w:ind w:firstLine="272" w:firstLineChars="100"/>
        <w:rPr>
          <w:sz w:val="28"/>
          <w:szCs w:val="28"/>
          <w:shd w:val="clear" w:color="auto" w:fill="FFFFFF"/>
        </w:rPr>
      </w:pPr>
      <w:r>
        <w:rPr>
          <w:sz w:val="28"/>
          <w:szCs w:val="28"/>
          <w:shd w:val="clear" w:color="auto" w:fill="FFFFFF"/>
        </w:rPr>
        <w:t>初校：</w:t>
      </w:r>
      <w:r>
        <w:rPr>
          <w:rFonts w:hint="eastAsia"/>
          <w:sz w:val="28"/>
          <w:szCs w:val="28"/>
          <w:shd w:val="clear" w:color="auto" w:fill="FFFFFF"/>
        </w:rPr>
        <w:t>彭　裕</w:t>
      </w:r>
      <w:r>
        <w:rPr>
          <w:sz w:val="28"/>
          <w:szCs w:val="28"/>
          <w:shd w:val="clear" w:color="auto" w:fill="FFFFFF"/>
        </w:rPr>
        <w:t>　　　终校：</w:t>
      </w:r>
      <w:r>
        <w:rPr>
          <w:rFonts w:hint="eastAsia"/>
          <w:sz w:val="28"/>
          <w:szCs w:val="28"/>
          <w:shd w:val="clear" w:color="auto" w:fill="FFFFFF"/>
        </w:rPr>
        <w:t>许扶亚</w:t>
      </w:r>
    </w:p>
    <w:p>
      <w:pPr>
        <w:spacing w:line="20" w:lineRule="exact"/>
      </w:pPr>
    </w:p>
    <w:p>
      <w:bookmarkStart w:id="0" w:name="_GoBack"/>
      <w:bookmarkEnd w:id="0"/>
    </w:p>
    <w:sectPr>
      <w:footerReference r:id="rId5" w:type="default"/>
      <w:pgSz w:w="11906" w:h="16838"/>
      <w:pgMar w:top="1985" w:right="1474" w:bottom="1814" w:left="1588" w:header="851" w:footer="1406" w:gutter="113"/>
      <w:cols w:space="720" w:num="1"/>
      <w:docGrid w:type="linesAndChars" w:linePitch="573" w:charSpace="-184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公文小标宋简">
    <w:altName w:val="宋体"/>
    <w:panose1 w:val="02010609010101010101"/>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方正小标宋简体">
    <w:altName w:val="微软雅黑"/>
    <w:panose1 w:val="02010601030101010101"/>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hint="eastAsia"/>
        <w:sz w:val="28"/>
        <w:szCs w:val="28"/>
        <w:lang w:eastAsia="zh-CN"/>
      </w:rPr>
    </w:pPr>
    <w:r>
      <w:rPr>
        <w:rFonts w:hint="eastAsia" w:ascii="Cambria" w:hAnsi="Cambria"/>
        <w:sz w:val="28"/>
        <w:szCs w:val="28"/>
        <w:lang w:val="zh-CN" w:eastAsia="zh-CN"/>
      </w:rPr>
      <w:t>—</w:t>
    </w:r>
    <w:r>
      <w:rPr>
        <w:sz w:val="28"/>
        <w:szCs w:val="28"/>
        <w:lang w:val="zh-CN"/>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29</w:t>
    </w:r>
    <w:r>
      <w:rPr>
        <w:sz w:val="28"/>
        <w:szCs w:val="28"/>
      </w:rPr>
      <w:fldChar w:fldCharType="end"/>
    </w:r>
    <w:r>
      <w:rPr>
        <w:rFonts w:ascii="Cambria" w:hAnsi="Cambria"/>
        <w:sz w:val="28"/>
        <w:szCs w:val="28"/>
        <w:lang w:val="zh-CN"/>
      </w:rPr>
      <w:t xml:space="preserve"> </w:t>
    </w:r>
    <w:r>
      <w:rPr>
        <w:rFonts w:hint="eastAsia" w:ascii="Cambria" w:hAnsi="Cambria"/>
        <w:sz w:val="28"/>
        <w:szCs w:val="28"/>
        <w:lang w:val="zh-CN" w:eastAsia="zh-CN"/>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sz w:val="28"/>
        <w:szCs w:val="28"/>
        <w:lang w:eastAsia="zh-CN"/>
      </w:rPr>
    </w:pPr>
    <w:r>
      <w:rPr>
        <w:rFonts w:hint="eastAsia" w:ascii="Cambria" w:hAnsi="Cambria"/>
        <w:sz w:val="28"/>
        <w:szCs w:val="28"/>
        <w:lang w:val="zh-CN" w:eastAsia="zh-CN"/>
      </w:rPr>
      <w:t>—</w:t>
    </w:r>
    <w:r>
      <w:rPr>
        <w:rFonts w:ascii="Cambria" w:hAnsi="Cambria"/>
        <w:sz w:val="28"/>
        <w:szCs w:val="28"/>
        <w:lang w:val="zh-CN"/>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30</w:t>
    </w:r>
    <w:r>
      <w:rPr>
        <w:sz w:val="28"/>
        <w:szCs w:val="28"/>
      </w:rPr>
      <w:fldChar w:fldCharType="end"/>
    </w:r>
    <w:r>
      <w:rPr>
        <w:rFonts w:ascii="Cambria" w:hAnsi="Cambria"/>
        <w:sz w:val="28"/>
        <w:szCs w:val="28"/>
        <w:lang w:val="zh-CN"/>
      </w:rPr>
      <w:t xml:space="preserve"> </w:t>
    </w:r>
    <w:r>
      <w:rPr>
        <w:rFonts w:hint="eastAsia" w:ascii="Cambria" w:hAnsi="Cambria"/>
        <w:sz w:val="28"/>
        <w:szCs w:val="28"/>
        <w:lang w:val="zh-CN" w:eastAsia="zh-CN"/>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4"/>
        <w:rFonts w:hint="eastAsia"/>
      </w:rPr>
    </w:pPr>
    <w:r>
      <w:rPr>
        <w:rStyle w:val="4"/>
        <w:rFonts w:hint="eastAsia"/>
      </w:rPr>
      <w:t xml:space="preserve">— </w:t>
    </w:r>
    <w:r>
      <w:fldChar w:fldCharType="begin"/>
    </w:r>
    <w:r>
      <w:rPr>
        <w:rStyle w:val="4"/>
      </w:rPr>
      <w:instrText xml:space="preserve">PAGE  </w:instrText>
    </w:r>
    <w:r>
      <w:fldChar w:fldCharType="separate"/>
    </w:r>
    <w:r>
      <w:rPr>
        <w:rStyle w:val="4"/>
      </w:rPr>
      <w:t>31</w:t>
    </w:r>
    <w:r>
      <w:fldChar w:fldCharType="end"/>
    </w:r>
    <w:r>
      <w:rPr>
        <w:rStyle w:val="4"/>
        <w:rFonts w:hint="eastAsia" w:ascii="宋体" w:hAnsi="宋体"/>
      </w:rPr>
      <w:t xml:space="preserve"> </w:t>
    </w:r>
    <w:r>
      <w:rPr>
        <w:rStyle w:val="4"/>
        <w:rFonts w:hint="eastAsia"/>
      </w:rPr>
      <w:t>—</w:t>
    </w:r>
  </w:p>
  <w:p>
    <w:pPr>
      <w:pStyle w:val="2"/>
      <w:tabs>
        <w:tab w:val="clear" w:pos="4153"/>
        <w:tab w:val="clear" w:pos="8306"/>
      </w:tabs>
      <w:ind w:left="350" w:right="360" w:firstLine="360"/>
      <w:jc w:val="right"/>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DA2D10"/>
    <w:rsid w:val="25DA2D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kern w:val="2"/>
      <w:sz w:val="32"/>
      <w:szCs w:val="22"/>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character" w:styleId="4">
    <w:name w:val="page number"/>
    <w:uiPriority w:val="0"/>
    <w:rPr>
      <w:rFonts w:eastAsia="宋体"/>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2020-12-23T04:51:00Z</dcterms:created>
  <dc:creator>Administrator</dc:creator>
  <cp:lastModifiedBy>Administrator</cp:lastModifiedBy>
  <dcterms:modified xsi:type="dcterms:W3CDTF">2020-12-23T04:52:20Z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